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68.jpg" ContentType="image/jpeg"/>
  <Override PartName="/word/media/rId72.jpg" ContentType="image/jpeg"/>
  <Override PartName="/word/media/rId73.jpg" ContentType="image/jpeg"/>
  <Override PartName="/word/media/rId71.jpg" ContentType="image/jpeg"/>
  <Override PartName="/word/media/rId69.jpg" ContentType="image/jpeg"/>
  <Override PartName="/word/media/rId70.jpg" ContentType="image/jpeg"/>
  <Override PartName="/word/media/rId77.jpg" ContentType="image/jpeg"/>
  <Override PartName="/word/media/rId78.jpg" ContentType="image/jpeg"/>
  <Override PartName="/word/media/rId74.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Mark</w:t>
      </w:r>
      <w:r>
        <w:t xml:space="preserve"> </w:t>
      </w:r>
      <w:r>
        <w:t xml:space="preserve">Rains</w:t>
      </w:r>
      <w:r>
        <w:t xml:space="preserve"> </w:t>
      </w:r>
      <w:r>
        <w:t xml:space="preserve">(</w:t>
      </w:r>
      <w:hyperlink r:id="rId34">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5">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6">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7">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8">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9">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40">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1">
        <w:r>
          <w:rPr>
            <w:rStyle w:val="Hyperlink"/>
          </w:rPr>
          <w:t xml:space="preserve">jwhalen@tbep.org</w:t>
        </w:r>
      </w:hyperlink>
      <w:r>
        <w:t xml:space="preserve">)</w:t>
      </w:r>
    </w:p>
    <w:p>
      <w:pPr>
        <w:pStyle w:val="FirstParagraph"/>
      </w:pPr>
      <w:r>
        <w:t xml:space="preserve">Last manuscript build 2021-10-19 16:54:26</w:t>
      </w:r>
    </w:p>
    <w:bookmarkStart w:id="42" w:name="abstract"/>
    <w:p>
      <w:pPr>
        <w:pStyle w:val="Heading1"/>
      </w:pPr>
      <w:r>
        <w:t xml:space="preserve">Abstract</w:t>
      </w:r>
    </w:p>
    <w:p>
      <w:pPr>
        <w:pStyle w:val="FirstParagraph"/>
      </w:pPr>
      <w:r>
        <w:t xml:space="preserve">From March 30th to April 9th, 2021, 215 million gallons of legacy phosphate mining wastewater from the Piney Point facility were released into Tampa Bay (Florida, USA). An estimated 205 tons of total nitrogen were exported to Lower Tampa Bay, exceeding typical annual external nitrogen load estimates in a matter of days. An immediate phytoplankton response (non-harmful diatom) was observed in samples closest to the discharge site, with chlorophyll concentrations exceeding 50 ug/L. Cyanobacteria blooms (</w:t>
      </w:r>
      <w:r>
        <w:rPr>
          <w:iCs/>
          <w:i/>
        </w:rPr>
        <w:t xml:space="preserve">Dapis</w:t>
      </w:r>
      <w:r>
        <w:t xml:space="preserve"> </w:t>
      </w:r>
      <w:r>
        <w:t xml:space="preserve">spp.) were observed beginning in May, with biomass peaking in June at 48% frequency occurrence for some locations. Blooms of</w:t>
      </w:r>
      <w:r>
        <w:t xml:space="preserve"> </w:t>
      </w:r>
      <w:r>
        <w:rPr>
          <w:iCs/>
          <w:i/>
        </w:rPr>
        <w:t xml:space="preserve">Karenia brevis</w:t>
      </w:r>
      <w:r>
        <w:t xml:space="preserve"> </w:t>
      </w:r>
      <w:r>
        <w:t xml:space="preserve">were first observed in May and continued through July within Tampa Bay proper. Reported fish kills tracked bloom concentrations, prompting local cleanup efforts to remove over 1800 tons of dead fish. Combined, these observations indicate abnormal conditions in Tampa Bay following release of wastewater from Piney Point, which is supported by comparison to the decades of baseline environmental monitoring data for the region and typical seasonal conditions experienced in recent years.</w:t>
      </w:r>
    </w:p>
    <w:p>
      <w:pPr>
        <w:pStyle w:val="BodyText"/>
      </w:pPr>
      <w:r>
        <w:rPr>
          <w:iCs/>
          <w:i/>
        </w:rPr>
        <w:t xml:space="preserve">Key words</w:t>
      </w:r>
      <w:r>
        <w:t xml:space="preserve">: algae, nitrogen, phosphate mining, seagrass, Tampa Bay, wastewater, water quality</w:t>
      </w:r>
    </w:p>
    <w:bookmarkEnd w:id="42"/>
    <w:bookmarkStart w:id="45" w:name="introduction"/>
    <w:p>
      <w:pPr>
        <w:pStyle w:val="Heading1"/>
      </w:pPr>
      <w:r>
        <w:t xml:space="preserve">Introduction</w:t>
      </w:r>
    </w:p>
    <w:p>
      <w:pPr>
        <w:pStyle w:val="FirstParagraph"/>
      </w:pPr>
      <w:r>
        <w:t xml:space="preserve">Ecosystem management paradigms for estuaries of the Gulf Coast of Florida, USA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Tampa Bay is the largest open-water estuary in Florida, located in a heavily urbanized watershed of nearly 3.1 million individuals. Historical gains in seagrass coverage in Tampa Bay have been achieved through public-private partnerships and consensus-based approaches to science applications that seek to limit the total nutrient loads delivered to major bay segments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Together, these efforts have resulted in the long-term recovery of Tampa Bay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w:t>
      </w:r>
    </w:p>
    <w:p>
      <w:pPr>
        <w:pStyle w:val="BodyText"/>
      </w:pPr>
      <w:r>
        <w:t xml:space="preserve">Ongoing threats and challenges to protecting water quality of Gulf Coast estuaries persist despite recent environmental recovery. Because point-source inputs of nutrient loads from wastewater treatment plants and industrial sources into Tampa Bay have been greatly reduced, non-point source loads from wastewater sources and stormwater runoff are now estimated to dominate external nutrient loads to the bay, particularly during the rainy season from June to September</w:t>
      </w:r>
      <w:r>
        <w:t xml:space="preserve"> </w:t>
      </w:r>
      <w:r>
        <w:t xml:space="preserve">(</w:t>
      </w:r>
      <w:hyperlink w:anchor="ref-Janicki17">
        <w:r>
          <w:rPr>
            <w:rStyle w:val="Hyperlink"/>
          </w:rPr>
          <w:t xml:space="preserve">Janicki Environmental, Inc., 2017a</w:t>
        </w:r>
      </w:hyperlink>
      <w:r>
        <w:t xml:space="preserve">,</w:t>
      </w:r>
      <w:r>
        <w:t xml:space="preserve"> </w:t>
      </w:r>
      <w:hyperlink w:anchor="ref-Janicki08">
        <w:r>
          <w:rPr>
            <w:rStyle w:val="Hyperlink"/>
          </w:rPr>
          <w:t xml:space="preserve">2008</w:t>
        </w:r>
      </w:hyperlink>
      <w:r>
        <w:t xml:space="preserve">)</w:t>
      </w:r>
      <w:r>
        <w:t xml:space="preserve">. Atmospheric deposition of nutrients from fossil fuel-based power production and automobile traffic further contribute about one-quarter of the total nitrogen inputs directly to the bay’s surface</w:t>
      </w:r>
      <w:r>
        <w:t xml:space="preserve"> </w:t>
      </w:r>
      <w:r>
        <w:t xml:space="preserve">(</w:t>
      </w:r>
      <w:hyperlink w:anchor="ref-Poor13">
        <w:r>
          <w:rPr>
            <w:rStyle w:val="Hyperlink"/>
          </w:rPr>
          <w:t xml:space="preserve">Poor et al., 2013</w:t>
        </w:r>
      </w:hyperlink>
      <w:r>
        <w:t xml:space="preserve">)</w:t>
      </w:r>
      <w:r>
        <w:t xml:space="preserve">. Climate change stressors, such as sea level rise, changing rainfall patterns, and temperature alterations, may further perturb ecosystem dynamics and assimilative capacity by reducing system resilience to nutrient inputs</w:t>
      </w:r>
      <w:r>
        <w:t xml:space="preserve"> </w:t>
      </w:r>
      <w:r>
        <w:t xml:space="preserve">(</w:t>
      </w:r>
      <w:hyperlink w:anchor="ref-Burke17">
        <w:r>
          <w:rPr>
            <w:rStyle w:val="Hyperlink"/>
          </w:rPr>
          <w:t xml:space="preserve">Burke, 2017</w:t>
        </w:r>
      </w:hyperlink>
      <w:r>
        <w:t xml:space="preserve">;</w:t>
      </w:r>
      <w:r>
        <w:t xml:space="preserve"> </w:t>
      </w:r>
      <w:hyperlink w:anchor="ref-Sherwood14">
        <w:r>
          <w:rPr>
            <w:rStyle w:val="Hyperlink"/>
          </w:rPr>
          <w:t xml:space="preserve">Sherwood and Greening, 2014</w:t>
        </w:r>
      </w:hyperlink>
      <w:r>
        <w:t xml:space="preserve">)</w:t>
      </w:r>
      <w:r>
        <w:t xml:space="preserve">. The Tampa Bay Estuary Program and its partners have been instrumental in coordinating efforts among local and regional stakeholders to address legacy pollutants and current threats to the long-term protection of bay resources through implementation of a science-based resource management plan for the Bay</w:t>
      </w:r>
      <w:r>
        <w:t xml:space="preserve"> </w:t>
      </w:r>
      <w:r>
        <w:t xml:space="preserve">(</w:t>
      </w:r>
      <w:hyperlink w:anchor="ref-Greening16">
        <w:r>
          <w:rPr>
            <w:rStyle w:val="Hyperlink"/>
          </w:rPr>
          <w:t xml:space="preserve">Greening et al., 2016</w:t>
        </w:r>
      </w:hyperlink>
      <w:r>
        <w:t xml:space="preserve">,</w:t>
      </w:r>
      <w:r>
        <w:t xml:space="preserve"> </w:t>
      </w:r>
      <w:hyperlink w:anchor="ref-Greening14">
        <w:r>
          <w:rPr>
            <w:rStyle w:val="Hyperlink"/>
          </w:rPr>
          <w:t xml:space="preserve">2014</w:t>
        </w:r>
      </w:hyperlink>
      <w:r>
        <w:t xml:space="preserve">)</w:t>
      </w:r>
      <w:r>
        <w:t xml:space="preserve">.</w:t>
      </w:r>
    </w:p>
    <w:p>
      <w:pPr>
        <w:pStyle w:val="BodyText"/>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Impurities,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b">
        <w:r>
          <w:rPr>
            <w:rStyle w:val="Hyperlink"/>
          </w:rPr>
          <w:t xml:space="preserve">Beck et al., 2018a</w:t>
        </w:r>
      </w:hyperlink>
      <w:r>
        <w:t xml:space="preserve">)</w:t>
      </w:r>
      <w:r>
        <w:t xml:space="preserv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40 million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43">
        <w:r>
          <w:rPr>
            <w:rStyle w:val="Hyperlink"/>
          </w:rPr>
          <w:t xml:space="preserve">Florida Department of Environmental Protection</w:t>
        </w:r>
      </w:hyperlink>
      <w:r>
        <w:t xml:space="preserve">) exist in the Tampa Bay watershed with no comprehensive, long-term plan for closure or disposal of waste. The Piney Point facility located in Palmetto, Florida is a large, remnant phosphogypsum stack with three holding ponds located less than two miles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HRK Holdings, LLC (hereafter HRK), with oversight by the Florida Departmental of Environmental Protection (FDEP). Decreasing holding capacity of the ponds from seasonal rain events, tropical storms, and storage of dredging material from nearby Port Manatee have contributed to degradation of the facility. Discharges of wastewater from the stacks occurred in the early 2000s and 2011 to nearby Bishop Harbor connected to Tampa Bay. Those discharges resulted in spatially-restricted, ecosystem responses</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HRK suspected leakages from a tear in the plastic liner of the southern holding pond (NGS-S) when water quality samples with a similar conductivity as the wastewater were detected at onsite seepage interceptor drains. In response, FDEP authorized an</w:t>
      </w:r>
      <w:r>
        <w:t xml:space="preserve"> </w:t>
      </w:r>
      <w:hyperlink r:id="rId44">
        <w:r>
          <w:rPr>
            <w:rStyle w:val="Hyperlink"/>
          </w:rPr>
          <w:t xml:space="preserve">emergency order</w:t>
        </w:r>
      </w:hyperlink>
      <w:r>
        <w:t xml:space="preserve"> </w:t>
      </w:r>
      <w:r>
        <w:t xml:space="preserve">on March 30th, 2021 to release wastewater from the southern gypstack directly into lower Tampa Bay to prevent catastrophic failure of the berms supporting the holding ponds. At that time, approximately 480 million gallons of mix legacy phosphate mining wastewater and seawater from port dedging operations was being held in the failing gypstack. Water quality parameters of NGS-S measured in 2019 were well above baseline conditions typical of surface waters in Tampa Bay (Table</w:t>
      </w:r>
      <w:r>
        <w:t xml:space="preserve"> </w:t>
      </w:r>
      <w:r>
        <w:t xml:space="preserve">1</w:t>
      </w:r>
      <w:r>
        <w:t xml:space="preserve">), particularly for total phosphorus (160 mg/L) and total nitrogen (230 mg/L). Due to public safety and property concerns over catastrophic failure of the holding walls, an</w:t>
      </w:r>
      <w:r>
        <w:t xml:space="preserve"> </w:t>
      </w:r>
      <w:hyperlink r:id="rId44">
        <w:r>
          <w:rPr>
            <w:rStyle w:val="Hyperlink"/>
          </w:rPr>
          <w:t xml:space="preserve">emergency order</w:t>
        </w:r>
      </w:hyperlink>
      <w:r>
        <w:t xml:space="preserve"> </w:t>
      </w:r>
      <w:r>
        <w:t xml:space="preserve">was issued by FDEP on March 29th for HRK to begin release of wastewater from the stack into Tampa Bay to reduce physical strain on the stacks. Unlike past discharges from the site, HRK was authorized to release untreated wastewater through siphon lines established during dredging operations in 2011 and that discharged through Berth 12 at Port Manatee. This was done under the assumption that backwater habitats (e.g., Bishop Harbor) may be spared the impacts of additional effluent discharges from the site, as was observed in prior events. From March 30th to April 9th, approximately 215 million gallons of wastewater were released to lower Tampa Bay. Over this ten day period, an estimated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2017b</w:t>
        </w:r>
      </w:hyperlink>
      <w:r>
        <w:t xml:space="preserve">)</w:t>
      </w:r>
      <w:r>
        <w:t xml:space="preserve">.</w:t>
      </w:r>
    </w:p>
    <w:p>
      <w:pPr>
        <w:pStyle w:val="BodyText"/>
      </w:pPr>
      <w:r>
        <w:t xml:space="preserve">This paper provides an initial assessment of environmental conditions in Tampa Bay over four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We provide a brief overview of the history of the Piney Point facility, including past wastewater releases and impacts observed in Tampa Bay. A timeline of events in 2021 is also provided, which is supported by the quantitative results from 2021 response-based monitoring of conditions in and around Port Manatee, FL – the focal point of emergency discharges from the Piney Point facility. The results of this study provide an initial documentation of impacts to the natural resources of Tampa Bay that can be used to inform long-term assessments of acute wastewater discharge events on the environmental quality of the region as well as a potential template for future emergency responses. We focus primarily on the perspective of the Tampa Bay Estuary Program in its role in coordinating monitoring and evaluating short-term impacts, particularly in the context of seagrass resources and long-term management goals that leverage existing partnerships among local resource management institutions.</w:t>
      </w:r>
    </w:p>
    <w:bookmarkEnd w:id="45"/>
    <w:bookmarkStart w:id="54" w:name="methods"/>
    <w:p>
      <w:pPr>
        <w:pStyle w:val="Heading1"/>
      </w:pPr>
      <w:r>
        <w:t xml:space="preserve">Methods</w:t>
      </w:r>
    </w:p>
    <w:bookmarkStart w:id="46" w:name="history-of-piney-point"/>
    <w:p>
      <w:pPr>
        <w:pStyle w:val="Heading2"/>
      </w:pPr>
      <w:r>
        <w:t xml:space="preserve">History of Piney Point</w:t>
      </w:r>
    </w:p>
    <w:p>
      <w:pPr>
        <w:pStyle w:val="FirstParagraph"/>
      </w:pPr>
      <w:r>
        <w:t xml:space="preserve">The Piney Point facility in Palmetto, Florida was established in 1966 by the now defunct Borden Chemicals company near Port Manatee on the southeast shore of lower Tampa Bay. Port operations were primarily for export of phosphate production by the plant. Numerous environmental issues were observed in these early years, including suspected wastewater contamination in nearby Bishop Harbor, groundwater contamination from industrial solvents, and air pollution from plant emissions</w:t>
      </w:r>
      <w:r>
        <w:t xml:space="preserve"> </w:t>
      </w:r>
      <w:r>
        <w:t xml:space="preserve">(</w:t>
      </w:r>
      <w:hyperlink w:anchor="ref-Henderson04">
        <w:r>
          <w:rPr>
            <w:rStyle w:val="Hyperlink"/>
          </w:rPr>
          <w:t xml:space="preserve">Henderson, 2004</w:t>
        </w:r>
      </w:hyperlink>
      <w:r>
        <w:t xml:space="preserve">)</w:t>
      </w:r>
      <w:r>
        <w:t xml:space="preserve">. Ownership of the facility was transferred to different companies over the course of operation and in 1993 the plant was acquired by Mulberry Phosphates, Inc., which also owned a mining facility in Mulberry, Florida to the north. In 1997, 54 million gallons of phosphate mining process water from the Mulberry plant spilled into the Alafia River, the second largest tributary to Tampa Bay, killing 1.3 million fishes and impacting 153 hectares of wetland habitat.</w:t>
      </w:r>
    </w:p>
    <w:p>
      <w:pPr>
        <w:pStyle w:val="BodyText"/>
      </w:pPr>
      <w:r>
        <w:t xml:space="preserve">The Mulberry corporation filed for bankruptcy in 2001, transferring regulatory oversight of the Piney Point facility to FDEP. Although phosphate production no longer occurred at the site, focus over the next twenty years centered on containment and treatment of wastewater on-site to minimize environmental impacts. Despite these efforts, reduced holding capacities and degraded physical integrity of the holding ponds likely contributed to discharge events to surficial and ground waters. Tropical storm Gabrielle in 2001 produced 13 inches of rain, causing over 10 million gallons of wastewater to be released into Bishop Harbor, with an estimated 15.4 tons of nitrogen (pers. comm. D. Eckenrod to USEPA, Nov. 28, 2001). Species of phytoplankton associated with harmful algal blooms were observed around this time</w:t>
      </w:r>
      <w:r>
        <w:t xml:space="preserve"> </w:t>
      </w:r>
      <w:r>
        <w:t xml:space="preserve">(</w:t>
      </w:r>
      <w:hyperlink w:anchor="ref-Garrett11">
        <w:r>
          <w:rPr>
            <w:rStyle w:val="Hyperlink"/>
          </w:rPr>
          <w:t xml:space="preserve">Garrett et al., 2011</w:t>
        </w:r>
      </w:hyperlink>
      <w:r>
        <w:t xml:space="preserve">)</w:t>
      </w:r>
      <w:r>
        <w:t xml:space="preserve">. From November 2003 to October 2004, treated process water from Piney Point was discharged to Bishop Harbor to further reduce the likelihood of an uncontrolled spill.</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reported minimal impacts to nekton communities, although macroalgal blooms of</w:t>
      </w:r>
      <w:r>
        <w:t xml:space="preserve"> </w:t>
      </w:r>
      <w:r>
        <w:rPr>
          <w:iCs/>
          <w:i/>
        </w:rPr>
        <w:t xml:space="preserve">Ulva spp.</w:t>
      </w:r>
      <w:r>
        <w:t xml:space="preserve"> </w:t>
      </w:r>
      <w:r>
        <w:t xml:space="preserve">and</w:t>
      </w:r>
      <w:r>
        <w:t xml:space="preserve"> </w:t>
      </w:r>
      <w:r>
        <w:rPr>
          <w:iCs/>
          <w:i/>
        </w:rPr>
        <w:t xml:space="preserve">Gracilaria spp.</w:t>
      </w:r>
      <w:r>
        <w:t xml:space="preserve"> </w:t>
      </w:r>
      <w:r>
        <w:t xml:space="preserve">were observed as a potential indication of nutrient eutrophication. Around the same time, 248 million gallons of wastewater from Piney Point were barged 120 miles offshore to the Gulf of Mexico to reduce strain on the holding capacity of storage ponds</w:t>
      </w:r>
      <w:r>
        <w:t xml:space="preserve"> </w:t>
      </w:r>
      <w:r>
        <w:t xml:space="preserve">(</w:t>
      </w:r>
      <w:hyperlink w:anchor="ref-Hu03">
        <w:r>
          <w:rPr>
            <w:rStyle w:val="Hyperlink"/>
          </w:rPr>
          <w:t xml:space="preserve">Hu and Muller-Karger, 2003</w:t>
        </w:r>
      </w:hyperlink>
      <w:r>
        <w:t xml:space="preserve">)</w:t>
      </w:r>
      <w:r>
        <w:t xml:space="preserve">. Efforts for onsite treatment were also increased during this period to increase pH, remove heavy metals, and reduce nutrient concentrations to minimize impacts of discharge to local areas.</w:t>
      </w:r>
    </w:p>
    <w:p>
      <w:pPr>
        <w:pStyle w:val="BodyText"/>
      </w:pPr>
      <w:r>
        <w:t xml:space="preserve">HRK acquired Piney Point in August 2006 through an administrative agreement with FDEP. This agreement transferred responsibility of the site to HRK with the intention that any future uses must protect and be compatible with the integrity of stack closure and long-term care. In 2011, HRK agreed to the storage of 1.5 million cubic yards of dredged material and seawater from Port Manatee to improve shipping capacity at the port (i.e., Berth 12 construction). This material was added to an existing gypstack at Piney Point. Placement of the dredged material was suspected in compromising the liner integrity which led to an emergency discharge that released 169 million gallons of dredged saltwater slurry and 3.5 tons of nitrogen to receiving waters leading to Bishop Harbor. The dredging and deposit of slurry at Piney Point continued following structural fortifications to the holding stacks to ensure integrity with additional loadings. HRK maintains ownership and responsibility of the site to present day with oversight by FDEP.</w:t>
      </w:r>
    </w:p>
    <w:bookmarkEnd w:id="46"/>
    <w:bookmarkStart w:id="51"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wastewater release at Piney Point began in April, 2021 and continued over the following months. These data were collected through a coordinated effort, facilitated in part by the FDEP and TBEP. 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Additional sampling for contaminants (e.g., heavy metals), invertebrates, and nekton was also conducted, but they are not reported here in anticipation of future monitoring events.</w:t>
      </w:r>
    </w:p>
    <w:p>
      <w:pPr>
        <w:pStyle w:val="BodyText"/>
      </w:pPr>
      <w:r>
        <w:t xml:space="preserve">Established laboratory and field sample protocols for all survey methods were based on an</w:t>
      </w:r>
      <w:r>
        <w:t xml:space="preserve"> </w:t>
      </w:r>
      <w:hyperlink r:id="rId47">
        <w:r>
          <w:rPr>
            <w:rStyle w:val="Hyperlink"/>
          </w:rPr>
          <w:t xml:space="preserve">Interagency Monitoring Project Plan</w:t>
        </w:r>
      </w:hyperlink>
      <w:r>
        <w:t xml:space="preserve"> </w:t>
      </w:r>
      <w:r>
        <w:t xml:space="preserve">maintained by the TBEP in agreement with USEPA standards and those of the inter-agency partners. To the extent possible, data quality objectives followed guidelines outlined in the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8">
        <w:r>
          <w:rPr>
            <w:rStyle w:val="Hyperlink"/>
          </w:rPr>
          <w:t xml:space="preserve">Regional Ambient Monitoring Program</w:t>
        </w:r>
      </w:hyperlink>
      <w:r>
        <w:t xml:space="preserve"> </w:t>
      </w:r>
      <w:r>
        <w:t xml:space="preserve">that ensures similar standards and protocols are followed in the collection of monitoring data, including routine cross-reference of samples between laboratories to check precision of measured values. Discrete water quality samples were taken primarily from surface grabs by boat and processed by the respective laboratories of each participating agency. For this paper, we focus on parameters related to the Tampa Bay nutrient management paradigm and the expected phytoplankton response from a dense, inorganic nitrogen plume entering the bay. This included evaluation of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and chlorophyll-a (ug/L) concentrations. Samples for pH, salinity (psu), temperature (^o C), and dissolved oxygen saturation (%) were also evaluated given the role these parameters can have as indicators of wastewater contamination (pH), physical drivers of primary production (salinity, temperature), and indicators of primary production and respiration (dissolved oxygen, mg/L). Overall, sample effort was variable given agency resources at the time of the discharge event and over the next few months. As appropriate, water quality data were aggregated at the weekly scale and by major areas of interest (Figure</w:t>
      </w:r>
      <w:r>
        <w:t xml:space="preserve"> </w:t>
      </w:r>
      <w:r>
        <w:t xml:space="preserve">1</w:t>
      </w:r>
      <w:r>
        <w:t xml:space="preserve">a) given the hypothesized impacts adjacent to the discharge site. These areas of interest were delineated based on proximity to Piney Point, the main shipping channel in the bay, inflow boundaries (e.g., Little Manatee River), location of the Skyway Bridge at the mouth of Tampa Bay, and major segments of Tampa Bay used by TBEP for assessing programmatic goals.</w:t>
      </w:r>
    </w:p>
    <w:p>
      <w:pPr>
        <w:pStyle w:val="BodyText"/>
      </w:pPr>
      <w:r>
        <w:t xml:space="preserve">Phytoplankton samples were also collected by multiple partners and included a mix of quantitative samples enumerating major taxa by cell concentrations and qualitative presence/absence samples. Taxa were aggregated into major groups of interest for Tampa Bay, with a focus on diatoms (Bacillariophyta and other centric taxa), as common primary producers observed throughout the growing season, and species associated with harmful algal blooms (HABs), as a potentially adverse outcome of these species outcompeting others in response to nutrient inputs from Piney Point. Evaluation of HABs data included specific focus on the red tide organism</w:t>
      </w:r>
      <w:r>
        <w:t xml:space="preserve"> </w:t>
      </w:r>
      <w:r>
        <w:rPr>
          <w:iCs/>
          <w:i/>
        </w:rPr>
        <w:t xml:space="preserve">Karenia brevis</w:t>
      </w:r>
      <w:r>
        <w:t xml:space="preserve"> </w:t>
      </w:r>
      <w:r>
        <w:t xml:space="preserve">that can occur in the bay depending on salinity and temperature conditions during the growing season. Occurrence of this species has historically been spatially distinct, with blooms originating in the Gulf of Mexico and occasionally occurring at bloom concentrations in lower Tampa Bay. Data for</w:t>
      </w:r>
      <w:r>
        <w:t xml:space="preserve"> </w:t>
      </w:r>
      <w:r>
        <w:rPr>
          <w:iCs/>
          <w:i/>
        </w:rPr>
        <w:t xml:space="preserve">K. brevis</w:t>
      </w:r>
      <w:r>
        <w:t xml:space="preserve"> </w:t>
      </w:r>
      <w:r>
        <w:t xml:space="preserve">were also obtained from event-based monitoring samples collected by FWC and available from the Harmful Algal BloomS Observing System (</w:t>
      </w:r>
      <w:hyperlink r:id="rId49">
        <w:r>
          <w:rPr>
            <w:rStyle w:val="Hyperlink"/>
          </w:rPr>
          <w:t xml:space="preserve">HABSOS</w:t>
        </w:r>
      </w:hyperlink>
      <w:r>
        <w:t xml:space="preserve">). Because of the increased occurrence of red tide in July following the emergency discharge, fish kill reports from FWC were also evaluated in relation to key municipalities (Tampa, St. Petersberg) impacted by the event. Fish kill reports were obtained from the FWC</w:t>
      </w:r>
      <w:r>
        <w:t xml:space="preserve"> </w:t>
      </w:r>
      <w:hyperlink r:id="rId50">
        <w:r>
          <w:rPr>
            <w:rStyle w:val="Hyperlink"/>
          </w:rPr>
          <w:t xml:space="preserve">online database</w:t>
        </w:r>
      </w:hyperlink>
      <w:r>
        <w:t xml:space="preserve">.</w:t>
      </w:r>
    </w:p>
    <w:p>
      <w:pPr>
        <w:pStyle w:val="BodyText"/>
      </w:pPr>
      <w:r>
        <w:t xml:space="preserve">Seagrass and macroalgae transect samples were collected approximately biweekly at locations around Piney Point from April to early October 2021. Each year, the TBEP coordinates inter-agency sampling among regional partners at over sixty fixed locations throughout the bay</w:t>
      </w:r>
      <w:r>
        <w:t xml:space="preserve"> </w:t>
      </w:r>
      <w:r>
        <w:t xml:space="preserve">(</w:t>
      </w:r>
      <w:hyperlink w:anchor="ref-Sherwood17">
        <w:r>
          <w:rPr>
            <w:rStyle w:val="Hyperlink"/>
          </w:rPr>
          <w:t xml:space="preserve">Sherwood et al., 2017</w:t>
        </w:r>
      </w:hyperlink>
      <w:r>
        <w:t xml:space="preserve">)</w:t>
      </w:r>
      <w:r>
        <w:t xml:space="preserve">. Because of the time-sensitive nature of the potential impacts of wastewater on seagrasses near Piney Point, the sampling protocol used at the routine monitoring locations was modified as a</w:t>
      </w:r>
      <w:r>
        <w:t xml:space="preserve"> </w:t>
      </w:r>
      <w:r>
        <w:t xml:space="preserve">“</w:t>
      </w:r>
      <w:r>
        <w:t xml:space="preserve">rapid survey</w:t>
      </w:r>
      <w:r>
        <w:t xml:space="preserve">”</w:t>
      </w:r>
      <w:r>
        <w:t xml:space="preserve"> </w:t>
      </w:r>
      <w:r>
        <w:t xml:space="preserve">design to sample seagrasses and macroalgae along fifty meter transects at several of the long-term monitoring sites, as well as new locations selected along the shore and small subembayments (e.g., Bishop Harbor) to provide a more comprehensive coverage of the seagrass community near Piney Point. Seagrasses and macroalgae were identified and abundances were estimated using Braun-Blanquet cover-abundance estimates within a 0.25 m</w:t>
      </w:r>
      <m:oMath>
        <m:sSup>
          <m:e>
            <m:r>
              <m:t>​</m:t>
            </m:r>
          </m:e>
          <m:sup>
            <m:r>
              <m:t>2</m:t>
            </m:r>
          </m:sup>
        </m:sSup>
      </m:oMath>
      <w:r>
        <w:t xml:space="preserve"> </w:t>
      </w:r>
      <w:r>
        <w:t xml:space="preserve">quadrat at 10m distances along each transect. Dominant seagrass species in the bay include</w:t>
      </w:r>
      <w:r>
        <w:t xml:space="preserve"> </w:t>
      </w:r>
      <w:r>
        <w:rPr>
          <w:iCs/>
          <w:i/>
        </w:rPr>
        <w:t xml:space="preserve">Halodule wrightii</w:t>
      </w:r>
      <w:r>
        <w:t xml:space="preserve">,</w:t>
      </w:r>
      <w:r>
        <w:t xml:space="preserve"> </w:t>
      </w:r>
      <w:r>
        <w:rPr>
          <w:iCs/>
          <w:i/>
        </w:rPr>
        <w:t xml:space="preserve">Syringodium filiforme</w:t>
      </w:r>
      <w:r>
        <w:t xml:space="preserve">, and</w:t>
      </w:r>
      <w:r>
        <w:t xml:space="preserve"> </w:t>
      </w:r>
      <w:r>
        <w:rPr>
          <w:iCs/>
          <w:i/>
        </w:rPr>
        <w:t xml:space="preserve">Thalassia testudinum</w:t>
      </w:r>
      <w:r>
        <w:t xml:space="preserve">. Other seagrass species (i.e.,</w:t>
      </w:r>
      <w:r>
        <w:t xml:space="preserve"> </w:t>
      </w:r>
      <w:r>
        <w:rPr>
          <w:iCs/>
          <w:i/>
        </w:rPr>
        <w:t xml:space="preserve">Halophila spp.</w:t>
      </w:r>
      <w:r>
        <w:t xml:space="preserve">,</w:t>
      </w:r>
      <w:r>
        <w:t xml:space="preserve"> </w:t>
      </w:r>
      <w:r>
        <w:rPr>
          <w:iCs/>
          <w:i/>
        </w:rPr>
        <w:t xml:space="preserve">Ruppia maritima</w:t>
      </w:r>
      <w:r>
        <w:t xml:space="preserve">) were also observed but were present at much lower abundances and were not evaluated herein. Macroalgae taxa were aggregated by major group (i.e., red, green, and cyanobacteria) based on expected responses to nutrient pollution. Seagrasses and macroalgae abundances were converted to frequency of occurrence estimates (i.e., number of locations present divided by total locations sampled) at the transect scale or within major areas (Figure</w:t>
      </w:r>
      <w:r>
        <w:t xml:space="preserve"> </w:t>
      </w:r>
      <w:r>
        <w:t xml:space="preserve">1</w:t>
      </w:r>
      <w:r>
        <w:t xml:space="preserve">a) depending on the analysis described below.</w:t>
      </w:r>
    </w:p>
    <w:bookmarkEnd w:id="51"/>
    <w:bookmarkStart w:id="53" w:name="data-analysis"/>
    <w:p>
      <w:pPr>
        <w:pStyle w:val="Heading2"/>
      </w:pPr>
      <w:r>
        <w:t xml:space="preserve">Data Analysis</w:t>
      </w:r>
    </w:p>
    <w:p>
      <w:pPr>
        <w:pStyle w:val="FirstParagraph"/>
      </w:pPr>
      <w:r>
        <w:t xml:space="preserve">Long-term water quality monitoring data from Hillsborough and Manatee counties (Figure</w:t>
      </w:r>
      <w:r>
        <w:t xml:space="preserve"> </w:t>
      </w:r>
      <w:r>
        <w:t xml:space="preserve">1</w:t>
      </w:r>
      <w:r>
        <w:t xml:space="preserve">a, accessible at</w:t>
      </w:r>
      <w:r>
        <w:t xml:space="preserve"> </w:t>
      </w:r>
      <w:hyperlink r:id="rId52">
        <w:r>
          <w:rPr>
            <w:rStyle w:val="Hyperlink"/>
          </w:rPr>
          <w:t xml:space="preserve">https://wateratlas.usf.edu/</w:t>
        </w:r>
      </w:hyperlink>
      <w:r>
        <w:t xml:space="preserve">) were used to establish baseline conditions for the major areas of interest in Figure</w:t>
      </w:r>
      <w:r>
        <w:t xml:space="preserve"> </w:t>
      </w:r>
      <w:r>
        <w:t xml:space="preserve">1</w:t>
      </w:r>
      <w:r>
        <w:t xml:space="preserve">a to compare with the response monitoring data described above.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w:t>
      </w:r>
    </w:p>
    <w:p>
      <w:pPr>
        <w:pStyle w:val="BodyText"/>
      </w:pPr>
      <w:r>
        <w:t xml:space="preserve">The historical monitoring data were also used to model an expected seasonal pattern for April to October in 2021. This was done by estimating smoothed splines using Generalized Additive Models (GAMs) using data only from the</w:t>
      </w:r>
      <w:r>
        <w:t xml:space="preserve"> </w:t>
      </w:r>
      <w:r>
        <w:t xml:space="preserve">“</w:t>
      </w:r>
      <w:r>
        <w:t xml:space="preserve">recovery</w:t>
      </w:r>
      <w:r>
        <w:t xml:space="preserve">”</w:t>
      </w:r>
      <w:r>
        <w:t xml:space="preserve"> </w:t>
      </w:r>
      <w:r>
        <w:t xml:space="preserve">stage of Tampa Bay.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provided an assessment of how 2021 data may have deviated from historical and normal seasonal variation.</w:t>
      </w:r>
    </w:p>
    <w:p>
      <w:pPr>
        <w:pStyle w:val="BodyText"/>
      </w:pPr>
      <w:r>
        <w:t xml:space="preserve">Assessments were first evaluated only on total nitrogen, chlorophyll-a, and secchi disk depth as a general analysis of potential patterns in eutrophication following wastewater release.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Variables with log-normal distribution were log</w:t>
      </w:r>
      <m:oMath>
        <m:sSub>
          <m:e>
            <m:r>
              <m:t>​</m:t>
            </m:r>
          </m:e>
          <m:sub>
            <m:r>
              <m:t>10</m:t>
            </m:r>
          </m:sub>
        </m:sSub>
      </m:oMath>
      <w:r>
        <w:t xml:space="preserve">-transformed (i.e., nutrients, chlorophyll) prior to analysis. For statistical tests using water quality data, only the monitoring results from FDEP were used for analysis given the consistency of sample location and collection date compared to the remainder of the data obtained from other partners. Secchi observations that were visually identified on the bottom (71 observations of 431 in the FDEP data) were removed from analysis because these are right-censored data, whereas all other non-detects were left-censored and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When appropriate, methods were used to accommodate measured concentrations in water quality variables that were below detection. These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 For the multiple comparison tests, only total nitrogen, secchi, and chl-a data were evaluated, none of which were below detection as noted in the FDEP data. Nitrate/nitrite concentrations were not evaluated quantitatively because over 80% of the observations were below detection.</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Partner data uploaded or entered manually as Google spreadsheets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the GAMs for water quality parameters.</w:t>
      </w:r>
    </w:p>
    <w:bookmarkEnd w:id="53"/>
    <w:bookmarkEnd w:id="54"/>
    <w:bookmarkStart w:id="59" w:name="results"/>
    <w:p>
      <w:pPr>
        <w:pStyle w:val="Heading1"/>
      </w:pPr>
      <w:r>
        <w:t xml:space="preserve">Results</w:t>
      </w:r>
    </w:p>
    <w:bookmarkStart w:id="55" w:name="timeline-of-events-from-april-2021"/>
    <w:p>
      <w:pPr>
        <w:pStyle w:val="Heading2"/>
      </w:pPr>
      <w:r>
        <w:t xml:space="preserve">Timeline of events from April 2021</w:t>
      </w:r>
    </w:p>
    <w:p>
      <w:pPr>
        <w:pStyle w:val="FirstParagraph"/>
      </w:pPr>
      <w:r>
        <w:t xml:space="preserve">A general narrative of 2021 events in Tampa Bay following release of wastewater from Piney Point is shown in Figure</w:t>
      </w:r>
      <w:r>
        <w:t xml:space="preserve"> </w:t>
      </w:r>
      <w:r>
        <w:t xml:space="preserve">2</w:t>
      </w:r>
      <w:r>
        <w:t xml:space="preserve">. After the discharge stopped on April 9th, an initial phytoplankton response was observed near Piney Point with concentrations peaking around mid-April (Area 1, Figure</w:t>
      </w:r>
      <w:r>
        <w:t xml:space="preserve"> </w:t>
      </w:r>
      <w:r>
        <w:t xml:space="preserve">4</w:t>
      </w:r>
      <w:r>
        <w:t xml:space="preserve">b). Taxa from the Bacillariophyta phylum (diatoms) were dominant in April, with a maximum chlorophyll concentration of 265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(&gt;10k cells/L) by May 23rd, although observations were limited to lower Tampa Bay. Also during May,</w:t>
      </w:r>
      <w:r>
        <w:t xml:space="preserve"> </w:t>
      </w:r>
      <w:r>
        <w:rPr>
          <w:iCs/>
          <w:i/>
        </w:rPr>
        <w:t xml:space="preserve">Dapis spp.</w:t>
      </w:r>
      <w:r>
        <w:t xml:space="preserve"> </w:t>
      </w:r>
      <w:r>
        <w:t xml:space="preserve">(cyanobacteria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after July. A quantitative description of these events follows.</w:t>
      </w:r>
    </w:p>
    <w:bookmarkEnd w:id="55"/>
    <w:bookmarkStart w:id="56" w:name="water-quality-trends"/>
    <w:p>
      <w:pPr>
        <w:pStyle w:val="Heading2"/>
      </w:pPr>
      <w:r>
        <w:t xml:space="preserve">Water quality trends</w:t>
      </w:r>
    </w:p>
    <w:p>
      <w:pPr>
        <w:pStyle w:val="FirstParagraph"/>
      </w:pPr>
      <w:r>
        <w:t xml:space="preserve">From April through September 2021, 7622 samples were collected for chl-a, dissolved oxygen, total nitrogen, total phosphorus, total ammonia nitrogen, nitrate/nitrite, pH, salinity, secchi depth, and temperature (Table</w:t>
      </w:r>
      <w:r>
        <w:t xml:space="preserve"> </w:t>
      </w:r>
      <w:r>
        <w:t xml:space="preserve">2</w:t>
      </w:r>
      <w:r>
        <w:t xml:space="preserve">). Of these samples, 7.8% were outside of the normal range defined by the long-term monthly monitoring data for the baseline period from 2006 to 2020 (below for Secchi depth, above for all others). The percentage of observations outside of the normal range varied by location and parameter. For chl-a, 51% of the observations were above the normal range for area 1, whereas only 7% and 23% were above for areas 2 and 3, respectively. Total nitrogen concentrations were above the normal range for 38% of observations in area 1, whereas concentrations were above for 23% of observations in area 2 and 22% in area 3. Secchi observations were below the normal range for 34% of observations in area 1 and for 18% and 35% of observations in areas 2 and 3. Notable differences were also observed for dissolved oxygen (e.g., 53% were above in area 1, 44% in area 2). Physical parameters (salinity, temperature) were generally within range over the study period. Inorganic nitrogen (ammonia, nitrate/nitrite) was generally within range, although initial time series showed much higher concentrations for ammonia in April near area 1, similar to the effluent measurements in Table</w:t>
      </w:r>
      <w:r>
        <w:t xml:space="preserve"> </w:t>
      </w:r>
      <w:r>
        <w:t xml:space="preserve">1</w:t>
      </w:r>
      <w:r>
        <w:t xml:space="preserve">.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Boxplots of total nitrogen, chl-a, and secchi depth show the temporal progression of observations by week and area relative to the normal ranges from long-term monitoring data (Figure</w:t>
      </w:r>
      <w:r>
        <w:t xml:space="preserve"> </w:t>
      </w:r>
      <w:r>
        <w:t xml:space="preserve">4</w:t>
      </w:r>
      <w:r>
        <w:t xml:space="preserve">). For area 1, total nitrogen and chlorophyll concentrations were frequently above normal ranges beginning the week of April 4th and lasting through the month. Concentrations remained similar to baseline conditions until June and July when median values were often above the baseline range. Secchi observations in area 1 were below baseline ranges in April and July. Observations in areas 2 and 3 were more often within the normal range, with some exceptions for total nitrogen and chl-a in area 3 during weeks of May, June,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areas 1 and 3 and total nitrogen and chl-a for area 2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6"/>
    <w:bookmarkStart w:id="57" w:name="seagrass-and-macroalgae-trends"/>
    <w:p>
      <w:pPr>
        <w:pStyle w:val="Heading2"/>
      </w:pPr>
      <w:r>
        <w:t xml:space="preserve">Seagrass and macroalgae trends</w:t>
      </w:r>
    </w:p>
    <w:p>
      <w:pPr>
        <w:pStyle w:val="FirstParagraph"/>
      </w:pPr>
      <w:r>
        <w:t xml:space="preserve">A total of 38 transects were sampled for seagrasses and macroalgae from April through July, each visited on average 1.7 times per month. Turtle grass (</w:t>
      </w:r>
      <w:r>
        <w:rPr>
          <w:iCs/>
          <w:i/>
        </w:rPr>
        <w:t xml:space="preserve">T. testudinum</w:t>
      </w:r>
      <w:r>
        <w:t xml:space="preserve">) was the dominant seagrass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30.5% and 32.8%,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 Macroalgae observed along the transects also varied in coverage, with red macroalgae groups having the highest frequency occurrence of 56.8%.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7.1% and 13.2%.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0.1% frequency occurrence.</w:t>
      </w:r>
    </w:p>
    <w:p>
      <w:pPr>
        <w:pStyle w:val="BodyText"/>
      </w:pPr>
      <w:r>
        <w:t xml:space="preserve">Temporal progression of seagrasses and macroalgae varied across the months, although a typical pattern observed at many of the transects is shown in Figure</w:t>
      </w:r>
      <w:r>
        <w:t xml:space="preserve"> </w:t>
      </w:r>
      <w:r>
        <w:t xml:space="preserve">6</w:t>
      </w:r>
      <w:r>
        <w:t xml:space="preserve">. Transect S3T6 is located less than one kilometer to the north of Port Manatee. The site is dominated by manatee grass that was observed at nearly all of the sample points along the transect at varying coverages. Overall abundance of seagrass did not change dramatically from April 22nd through July. However, macroalgal abundances changed over the course of sampling similar to many of the other transects sampled during the study. Red macroalgae were present in high abundances from April to May.</w:t>
      </w:r>
      <w:r>
        <w:t xml:space="preserve"> </w:t>
      </w:r>
      <w:r>
        <w:rPr>
          <w:iCs/>
          <w:i/>
        </w:rPr>
        <w:t xml:space="preserve">Dapis sp.</w:t>
      </w:r>
      <w:r>
        <w:t xml:space="preserve"> </w:t>
      </w:r>
      <w:r>
        <w:t xml:space="preserve">was first observed on May 24th and was present at all of the sample locations on June 4th and 15th.</w:t>
      </w:r>
      <w:r>
        <w:t xml:space="preserve"> </w:t>
      </w:r>
      <w:r>
        <w:rPr>
          <w:iCs/>
          <w:i/>
        </w:rPr>
        <w:t xml:space="preserve">Dapis sp.</w:t>
      </w:r>
      <w:r>
        <w:t xml:space="preserve"> </w:t>
      </w:r>
      <w:r>
        <w:t xml:space="preserve">persisted through June and July, but not was observed after July 20th. Green macroalgae taxa were first observed in July, although at generally low abundances. Trends in macroalgae somewhat followed seasonal patterns observed baywide with red macroalgae transitioning to green macroalgae by mid-summer.</w:t>
      </w:r>
    </w:p>
    <w:p>
      <w:pPr>
        <w:pStyle w:val="BodyText"/>
      </w:pPr>
      <w:r>
        <w:t xml:space="preserve">Monthly summaries in frequency occurrence by area (Figure</w:t>
      </w:r>
      <w:r>
        <w:t xml:space="preserve"> </w:t>
      </w:r>
      <w:r>
        <w:t xml:space="preserve">7</w:t>
      </w:r>
      <w:r>
        <w:t xml:space="preserve">) provided an indication of seagrass and macroalgae trends across all transects. No transects were sampled in area 2 to the north of Piney Point. Area 1 had generally balanced frequency occurrence of the three primary seagrass species observed in the bay, although a slight decrease over time in shoal grass (</w:t>
      </w:r>
      <w:r>
        <w:rPr>
          <w:iCs/>
          <w:i/>
        </w:rPr>
        <w:t xml:space="preserve">H. wrightii</w:t>
      </w:r>
      <w:r>
        <w:t xml:space="preserve">) was observed (April frequency occurrence of 35.4%, July frequency occurrence of 27.3%). A similar decline in coverage of shoal grass was also observed in area 3 (April frequency occurrence of 44%, July frequency occurrence of 16.7%). Frequency occurrence of manatee grass (</w:t>
      </w:r>
      <w:r>
        <w:rPr>
          <w:iCs/>
          <w:i/>
        </w:rPr>
        <w:t xml:space="preserve">S. syringodium</w:t>
      </w:r>
      <w:r>
        <w:t xml:space="preserve">) also declined slightly from April to July in area 3 (April frequency occurrence of 35.7%, July frequency occurrence of 16.7%). Changes in macroalgae frequency occurrence were much more pronounced than for seagrasses across months and by area. Red macroalgae was the dominant group across all months and areas, with the highest frequency occurrences observed in April (80.9% in area 1, 95.2% in area 3). Cyanobacteria frequency occurrence peaked in June, with greater coverage in area 3 (42.7%) compared to area 1 (35.7%). Green macroalgae had the second lowest frequency occurrence, followed by Brown macroalgae that was only observed at one transect.</w:t>
      </w:r>
    </w:p>
    <w:p>
      <w:pPr>
        <w:pStyle w:val="BodyText"/>
      </w:pPr>
      <w:r>
        <w:t xml:space="preserve">Statistical comparisons of results in Figure</w:t>
      </w:r>
      <w:r>
        <w:t xml:space="preserve"> </w:t>
      </w:r>
      <w:r>
        <w:t xml:space="preserve">7</w:t>
      </w:r>
      <w:r>
        <w:t xml:space="preserve"> </w:t>
      </w:r>
      <w:r>
        <w:t xml:space="preserve">shown in Tables</w:t>
      </w:r>
      <w:r>
        <w:t xml:space="preserve"> </w:t>
      </w:r>
      <w:r>
        <w:t xml:space="preserve">4</w:t>
      </w:r>
      <w:r>
        <w:t xml:space="preserve"> </w:t>
      </w:r>
      <w:r>
        <w:t xml:space="preserve">and</w:t>
      </w:r>
      <w:r>
        <w:t xml:space="preserve"> </w:t>
      </w:r>
      <w:r>
        <w:t xml:space="preserve">5</w:t>
      </w:r>
      <w:r>
        <w:t xml:space="preserve"> </w:t>
      </w:r>
      <w:r>
        <w:t xml:space="preserve">further suggested that seagrass trends were minor compared to those of macroalgae. Results by month showed that seagrass frequency occurrence, by species and area, had insignificant changes (</w:t>
      </w:r>
      <m:oMath>
        <m:r>
          <m:t>p</m:t>
        </m:r>
        <m:r>
          <m:rPr>
            <m:sty m:val="p"/>
          </m:rPr>
          <m:t>&gt;</m:t>
        </m:r>
        <m:r>
          <m:t>0.05</m:t>
        </m:r>
      </m:oMath>
      <w:r>
        <w:t xml:space="preserve">) over the study period. Although trends were not significant, estimated medians in each month in Table</w:t>
      </w:r>
      <w:r>
        <w:t xml:space="preserve"> </w:t>
      </w:r>
      <w:r>
        <w:t xml:space="preserve">5</w:t>
      </w:r>
      <w:r>
        <w:t xml:space="preserve"> </w:t>
      </w:r>
      <w:r>
        <w:t xml:space="preserve">showed similar changes for seagrasses as in Figure</w:t>
      </w:r>
      <w:r>
        <w:t xml:space="preserve"> </w:t>
      </w:r>
      <w:r>
        <w:t xml:space="preserve">6</w:t>
      </w:r>
      <w:r>
        <w:t xml:space="preserve">, with generally higher coverage estimates in April. These changes were more pronounced in area 3 as compared to area 1. For macroalgae (Table</w:t>
      </w:r>
      <w:r>
        <w:t xml:space="preserve"> </w:t>
      </w:r>
      <w:r>
        <w:t xml:space="preserve">4</w:t>
      </w:r>
      <w:r>
        <w:t xml:space="preserve">), significant differences between months were observed for red and cyanobacteria macroalgae in both areas 1 and 3, although cyanobacteria differences for area 3 were only marginally significant (</w:t>
      </w:r>
      <m:oMath>
        <m:r>
          <m:t>p</m:t>
        </m:r>
        <m:r>
          <m:rPr>
            <m:sty m:val="p"/>
          </m:rPr>
          <m:t>=</m:t>
        </m:r>
        <m:r>
          <m:t>0.014</m:t>
        </m:r>
      </m:oMath>
      <w:r>
        <w:t xml:space="preserve">). Coverage of cyanobacteria in area 1 during June was significantly higher than coverage in April. No significant differences between months were observed for the green macroalgae group.</w:t>
      </w:r>
    </w:p>
    <w:bookmarkEnd w:id="57"/>
    <w:bookmarkStart w:id="58" w:name="red-tide-and-fish-kill-reports"/>
    <w:p>
      <w:pPr>
        <w:pStyle w:val="Heading2"/>
      </w:pPr>
      <w:r>
        <w:t xml:space="preserve">Red tide and fish kill reports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10k cells/L was an anomaly in 2021 that is not regularly observed in Tampa Bay. The historical record from 1995 to present in Figure</w:t>
      </w:r>
      <w:r>
        <w:t xml:space="preserve"> </w:t>
      </w:r>
      <w:r>
        <w:t xml:space="preserve">8</w:t>
      </w:r>
      <w:r>
        <w:t xml:space="preserve">a shows the range of cell concentrations sampled in middle and lower Tampa Bay, with only a handful of years having median cell concentrations greater than 10,000 cells/L, notably 2001 and 2012, although several years had concentrations above the median that were at bloom levels. Median cell concentrations for most years were well below 1,000 cells/L. The highest concentration of 17.6 million cells/L was observed in 2021, whereas only 2006 had a maximum observed concentration above 10 million cells/L</w:t>
      </w:r>
      <w:r>
        <w:t xml:space="preserve"> </w:t>
      </w:r>
      <w:r>
        <w:t xml:space="preserve">(</w:t>
      </w:r>
      <w:hyperlink w:anchor="ref-Flaherty11">
        <w:r>
          <w:rPr>
            <w:rStyle w:val="Hyperlink"/>
          </w:rPr>
          <w:t xml:space="preserve">Flaherty and Landsberg, 2011</w:t>
        </w:r>
      </w:hyperlink>
      <w:r>
        <w:t xml:space="preserve">)</w:t>
      </w:r>
      <w:r>
        <w:t xml:space="preserve">. Seasonally in 2021, bloom concentrations were not observed until the week of May 23, with concentrations peaking by the week of July 4th, after which concentrations declined (Figure</w:t>
      </w:r>
      <w:r>
        <w:t xml:space="preserve"> </w:t>
      </w:r>
      <w:r>
        <w:t xml:space="preserve">8</w:t>
      </w:r>
      <w:r>
        <w:t xml:space="preserve">b).</w:t>
      </w:r>
    </w:p>
    <w:p>
      <w:pPr>
        <w:pStyle w:val="BodyText"/>
      </w:pPr>
      <w:r>
        <w:t xml:space="preserve">Fish kill reports attributed to red tide at the cities of Tampa and Saint Petersburg, FL somewhat tracked the annual</w:t>
      </w:r>
      <w:r>
        <w:t xml:space="preserve"> </w:t>
      </w:r>
      <w:r>
        <w:rPr>
          <w:iCs/>
          <w:i/>
        </w:rPr>
        <w:t xml:space="preserve">K. brevis</w:t>
      </w:r>
      <w:r>
        <w:t xml:space="preserve"> </w:t>
      </w:r>
      <w:r>
        <w:t xml:space="preserve">cell concentrations, with a notable exception in 2021 which had the most reports among all years (Figure</w:t>
      </w:r>
      <w:r>
        <w:t xml:space="preserve"> </w:t>
      </w:r>
      <w:r>
        <w:t xml:space="preserve">8</w:t>
      </w:r>
      <w:r>
        <w:t xml:space="preserve">c). Historically, more fish kills were reported in Saint Petersburg (85.6%) as compared to Tampa (14.4%), where the former is closer to the mouth of Tampa Bay. In 2021, 331 reports were made in Saint Petersburg and 65 in Tampa (Figure</w:t>
      </w:r>
      <w:r>
        <w:t xml:space="preserve"> </w:t>
      </w:r>
      <w:r>
        <w:t xml:space="preserve">8</w:t>
      </w:r>
      <w:r>
        <w:t xml:space="preserve">d).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8</w:t>
      </w:r>
      <w:r>
        <w:t xml:space="preserve">b). Notably, the first to last week of fish kill reports covered only one and half months, whereas red tide in the bay was observed for nearly four months. Increased reports in early July coincided with a shift in winds from Tropical Storm Elsa which moved dead fish closer to populated nearshore areas, as noted earlier. As a result, Pinellas County and the city of St. Petersburg removed over 1800 tons of dead fish near public and private shoreline areas (K. Hammer Levy, Pinellas County, pers. comm. Aug. 2021).</w:t>
      </w:r>
    </w:p>
    <w:bookmarkEnd w:id="58"/>
    <w:bookmarkEnd w:id="59"/>
    <w:bookmarkStart w:id="65" w:name="discussion"/>
    <w:p>
      <w:pPr>
        <w:pStyle w:val="Heading1"/>
      </w:pPr>
      <w:r>
        <w:t xml:space="preserve">Discussion</w:t>
      </w:r>
    </w:p>
    <w:p>
      <w:pPr>
        <w:pStyle w:val="FirstParagraph"/>
      </w:pPr>
      <w:r>
        <w:t xml:space="preserve">The observed conditions in Tampa Bay from April to July, 2021 following effluent release from Piney Point provide a weight of evidence that demonstrates an adverse environmental response to a large pulse of inorganic nitrogen into the system. Collectively, these observations show that conditions in 2021 were anomalous when compared to the long-term record of water quality and habitat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1800 tons of dead fish from shoreline areas. The observed water quality conditions throughout this period, particularly for total nitrogen, chlorophyll-a, and secchi depth, were outside of normal ranges for many observations supported by the decades of long-term monitoring data for the region (Figures</w:t>
      </w:r>
      <w:r>
        <w:t xml:space="preserve"> </w:t>
      </w:r>
      <w:r>
        <w:t xml:space="preserve">3</w:t>
      </w:r>
      <w:r>
        <w:t xml:space="preserve"> </w:t>
      </w:r>
      <w:r>
        <w:t xml:space="preserve">and</w:t>
      </w:r>
      <w:r>
        <w:t xml:space="preserve"> </w:t>
      </w:r>
      <w:r>
        <w:t xml:space="preserve">4</w:t>
      </w:r>
      <w:r>
        <w:t xml:space="preserve">, Table</w:t>
      </w:r>
      <w:r>
        <w:t xml:space="preserve"> </w:t>
      </w:r>
      <w:r>
        <w:t xml:space="preserve">2</w:t>
      </w:r>
      <w:r>
        <w:t xml:space="preserve">). Although these out-of-range results had specific temporal and spatial patterns, they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60">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3630 gallons,</w:t>
      </w:r>
      <w:r>
        <w:t xml:space="preserve"> </w:t>
      </w:r>
      <w:hyperlink r:id="rId61">
        <w:r>
          <w:rPr>
            <w:rStyle w:val="Hyperlink"/>
          </w:rPr>
          <w:t xml:space="preserve">unpublished analysis</w:t>
        </w:r>
      </w:hyperlink>
      <w:r>
        <w:t xml:space="preserve">) compared to the 285 million gallons discharged from Piney Point. Moreover, the estimated nutrient load of 205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2017b</w:t>
        </w:r>
      </w:hyperlink>
      <w:r>
        <w:t xml:space="preserve">)</w:t>
      </w:r>
      <w:r>
        <w:t xml:space="preserve">. From both a monitoring perspective and the nature of the effluent directly discharged into Tampa Bay, indicators of eutrophication and primary production in 2021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support known responses of water quality to nutrient loads for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chlorophyll-a, and water transparency followed expectations of reduced water quality with increased nutrient loads. Temporally, these changes were observed at different times and for different species of phytoplankton. The initial increase in chlorophyll-a was first associated with a diatom bloom in April and then by</w:t>
      </w:r>
      <w:r>
        <w:t xml:space="preserve"> </w:t>
      </w:r>
      <w:r>
        <w:rPr>
          <w:iCs/>
          <w:i/>
        </w:rPr>
        <w:t xml:space="preserve">K. brevis</w:t>
      </w:r>
      <w:r>
        <w:t xml:space="preserve"> </w:t>
      </w:r>
      <w:r>
        <w:t xml:space="preserve">in June and July.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total nitrogen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From a seagrass perspective, both major bloom events contributed to a reduction in water clarity and less light availability during the summer 2021 in comparison to prior years. Future effects on seagrass persistence in this region of Tampa Bay are unknown at this time, but monitoring continues. Changes in frequency occurrence of seagrasses and associations with water quality and macroalgae were ambiguous and not readily apparent over the initial 4 month sampling period. Evaluations of frequency occurrence across months showed no changes, although correlations with water quality and macroalgae can be explained with some certainty. Spatially, transects closer to the mouth of Tampa Bay and extending to the northern portion of Sarasota Bay (area 3) had higher frequency occurrence of turtle grass and lower frequency of shoal grass. This reflects a natural partitioning of the species along a salinity gradient</w:t>
      </w:r>
      <w:r>
        <w:t xml:space="preserve"> </w:t>
      </w:r>
      <w:r>
        <w:t xml:space="preserve">(</w:t>
      </w:r>
      <w:hyperlink w:anchor="ref-Sherwood17">
        <w:r>
          <w:rPr>
            <w:rStyle w:val="Hyperlink"/>
          </w:rPr>
          <w:t xml:space="preserve">Sherwood et al., 2017</w:t>
        </w:r>
      </w:hyperlink>
      <w:r>
        <w:t xml:space="preserve">)</w:t>
      </w:r>
      <w:r>
        <w:t xml:space="preserve">. Correlations between macroalgae and seagrasses can also be explained by spatial differences along a depth gradient. Frequency occurrences of both shoal grass and turtle grass were negatively associated with manatee grass. Shoal grass and turtle grass generally grow at more shallow depths than manatee grass and are often exposed during low tides. As an adaptive mechanism to varying water levels at shallower depths, blades of shoal grass and turtle grass can</w:t>
      </w:r>
      <w:r>
        <w:t xml:space="preserve"> </w:t>
      </w:r>
      <w:r>
        <w:t xml:space="preserve">“</w:t>
      </w:r>
      <w:r>
        <w:t xml:space="preserve">lay down</w:t>
      </w:r>
      <w:r>
        <w:t xml:space="preserve">”</w:t>
      </w:r>
      <w:r>
        <w:t xml:space="preserve"> </w:t>
      </w:r>
      <w:r>
        <w:t xml:space="preserve">during low tide to minimize desiccation stress. Manatee grass has thicker, cylindrical blades that are more rigid and, as a result, the species grows deeper. In addition to species depth partitioning, these associations may also reflect natural variation in seagrass response to water clarity gradients along the main axis of Tampa Bay. Shoal grass can occur in more turbid waters of oligohaline areas.</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 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seasonally occur earlier in the growing season. The dominance of the red groups early in the summer followed by an increase in</w:t>
      </w:r>
      <w:r>
        <w:t xml:space="preserve"> </w:t>
      </w:r>
      <w:r>
        <w:rPr>
          <w:iCs/>
          <w:i/>
        </w:rPr>
        <w:t xml:space="preserve">Ulva spp.</w:t>
      </w:r>
      <w:r>
        <w:t xml:space="preserve"> </w:t>
      </w:r>
      <w:r>
        <w:t xml:space="preserve">likely reflects a natural phenology in Tampa Bay. Past spill events were associated with an increase in both red and green macroalgae in a small embayment of Tampa Bay</w:t>
      </w:r>
      <w:r>
        <w:t xml:space="preserve"> </w:t>
      </w:r>
      <w:r>
        <w:t xml:space="preserve">(</w:t>
      </w:r>
      <w:hyperlink w:anchor="ref-Switzer11">
        <w:r>
          <w:rPr>
            <w:rStyle w:val="Hyperlink"/>
          </w:rPr>
          <w:t xml:space="preserve">Switzer et al., 2011</w:t>
        </w:r>
      </w:hyperlink>
      <w:r>
        <w:t xml:space="preserve">)</w:t>
      </w:r>
      <w:r>
        <w:t xml:space="preserve">. Thus, it is unclear if the trend from red to green macroalgae reflects a seasonal change or a shift to more eutrophic conditions at nearshore sites stimulated by wastewater release. A clear difference in the macroalgae community in 2021 compared to recent prior years was a high abundance of cyanobacteria macroalgae (i.e.,</w:t>
      </w:r>
      <w:r>
        <w:t xml:space="preserve"> </w:t>
      </w:r>
      <w:r>
        <w:rPr>
          <w:iCs/>
          <w:i/>
        </w:rPr>
        <w:t xml:space="preserve">Dapis sp.</w:t>
      </w:r>
      <w:r>
        <w:t xml:space="preserve">). Although cyanobacteria are observed in routine monitoring of seagrass transects in Tampa Bay, unusually high abundances of</w:t>
      </w:r>
      <w:r>
        <w:t xml:space="preserve"> </w:t>
      </w:r>
      <w:r>
        <w:rPr>
          <w:iCs/>
          <w:i/>
        </w:rPr>
        <w:t xml:space="preserve">Dapis sp.</w:t>
      </w:r>
      <w:r>
        <w:t xml:space="preserve"> </w:t>
      </w:r>
      <w:r>
        <w:t xml:space="preserve">in Anna Maria Sound and near Port Manatee were observed in 2021. The long-term effects of these blooms are uncertain, whereas the correlation of cyanobacteria with the different macroalgae groups and seagrass species may be partially explained by depth variation and a seasonal change in species dominance.</w:t>
      </w:r>
      <w:r>
        <w:t xml:space="preserve"> </w:t>
      </w:r>
      <w:r>
        <w:rPr>
          <w:iCs/>
          <w:i/>
        </w:rPr>
        <w:t xml:space="preserve">Dapis sp</w:t>
      </w:r>
      <w:r>
        <w:t xml:space="preserve"> </w:t>
      </w:r>
      <w:r>
        <w:t xml:space="preserve">were commonly observed at depth and entangled in blades of manatee grass, whereas floating mats closer to shore were also observed and likely driven by currents or winds moving the macroalgae away from the point of origin.</w:t>
      </w:r>
    </w:p>
    <w:p>
      <w:pPr>
        <w:pStyle w:val="BodyText"/>
      </w:pPr>
      <w:r>
        <w:t xml:space="preserve">The long-term effects of the Piney Point discharge on the seagrass community remains uncertain. Regionally, seagrasses have declined in coverage as estimated from biennial maps provided by the Southwest Florida Water Management District. From 2018 to 2020, seagrass coverage declined by 16% in Tampa Bay, with similar losses observed in Sarasota Bay (18%), Lemon Bay (12%), and Charlotte Harbor (23%) to the south. These broader trends suggest regional drivers are affecting seagrass communities (e.g., variation in precipitation), yet local issues specific to individual bays also pose challenges to managing water quality and subtidal habitats. Recent seagrass losses in Sarasota Bay may be linked to decreased light availability from a persistent red time bloom in 2018. Although the 2021 bloom in Tampa Bay was short-lived, potential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 causes of these shifts have yet to be identified, nor is the ecological value known for habitat and water quality. General consensus among local managers is that</w:t>
      </w:r>
      <w:r>
        <w:t xml:space="preserve"> </w:t>
      </w:r>
      <w:r>
        <w:rPr>
          <w:iCs/>
          <w:i/>
        </w:rPr>
        <w:t xml:space="preserve">Caulerpa</w:t>
      </w:r>
      <w:r>
        <w:t xml:space="preserve"> </w:t>
      </w:r>
      <w:r>
        <w:t xml:space="preserve">may provide some ecological value over bare substrate, but it may be indicative of broader ecosystem changes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wastewater release from Piney Point, create additional and often preventable challenges in the context of broader issues affecting ecosystem health and restoration activities.</w:t>
      </w:r>
    </w:p>
    <w:p>
      <w:pPr>
        <w:pStyle w:val="BodyText"/>
      </w:pPr>
      <w:r>
        <w:t xml:space="preserve">Fisheries resources were undoubtedly impacted by</w:t>
      </w:r>
      <w:r>
        <w:t xml:space="preserve"> </w:t>
      </w:r>
      <w:r>
        <w:rPr>
          <w:iCs/>
          <w:i/>
        </w:rPr>
        <w:t xml:space="preserve">K. brevis</w:t>
      </w:r>
      <w:r>
        <w:t xml:space="preserve"> </w:t>
      </w:r>
      <w:r>
        <w:t xml:space="preserve">blooms in June and July (Figure</w:t>
      </w:r>
      <w:r>
        <w:t xml:space="preserve"> </w:t>
      </w:r>
      <w:r>
        <w:t xml:space="preserve">8</w:t>
      </w:r>
      <w:r>
        <w:t xml:space="preserve">). Quantitative data on changes in nekton abundance and diversity in Tampa Bay in 2021 are forthcoming. Routine sampling by the FWC Fisheries Independent Monitoring Program occurs monthly in Tampa Bay and a long-term record back to 1998 provides detailed information for the major bay segments. Results from the Tampa Bay Nekton Index showed a decline in fisheries resources following a significant red tide event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restrictions for catch and release only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w:t>
      </w:r>
    </w:p>
    <w:p>
      <w:pPr>
        <w:pStyle w:val="BodyText"/>
      </w:pPr>
      <w:r>
        <w:t xml:space="preserve">Additional monitoring and analysis is also required to fully understand the long-term impacts to bay resources beyond water quality. For benthic communities, sediments were sampled near Port Manatee and surrounding waters in April 2021 during the discharge and in September 2021 to further assess potential impacts of Piney Point on sediment quality. These samples were used to calculate scores for the Tampa Bay Benthic Index (TBBI) as a measure of the ecological health of the benthos</w:t>
      </w:r>
      <w:r>
        <w:t xml:space="preserve"> </w:t>
      </w:r>
      <w:r>
        <w:t xml:space="preserve">(</w:t>
      </w:r>
      <w:hyperlink w:anchor="ref-tbep0106">
        <w:r>
          <w:rPr>
            <w:rStyle w:val="Hyperlink"/>
          </w:rPr>
          <w:t xml:space="preserve">Wade et al., 2006</w:t>
        </w:r>
      </w:hyperlink>
      <w:r>
        <w:t xml:space="preserve">)</w:t>
      </w:r>
      <w:r>
        <w:t xml:space="preserve">. Similar to other reporting tools for Tampa Bay, the TBBI categorizes sediment samples into</w:t>
      </w:r>
      <w:r>
        <w:t xml:space="preserve"> </w:t>
      </w:r>
      <w:r>
        <w:t xml:space="preserve">“</w:t>
      </w:r>
      <w:r>
        <w:t xml:space="preserve">healthy,</w:t>
      </w:r>
      <w:r>
        <w:t xml:space="preserve">”</w:t>
      </w:r>
      <w:r>
        <w:t xml:space="preserve"> </w:t>
      </w:r>
      <w:r>
        <w:t xml:space="preserve">“</w:t>
      </w:r>
      <w:r>
        <w:t xml:space="preserve">intermediate,</w:t>
      </w:r>
      <w:r>
        <w:t xml:space="preserve">”</w:t>
      </w:r>
      <w:r>
        <w:t xml:space="preserve"> </w:t>
      </w:r>
      <w:r>
        <w:t xml:space="preserve">and</w:t>
      </w:r>
      <w:r>
        <w:t xml:space="preserve"> </w:t>
      </w:r>
      <w:r>
        <w:t xml:space="preserve">“</w:t>
      </w:r>
      <w:r>
        <w:t xml:space="preserve">degraded</w:t>
      </w:r>
      <w:r>
        <w:t xml:space="preserve">”</w:t>
      </w:r>
      <w:r>
        <w:t xml:space="preserve"> </w:t>
      </w:r>
      <w:r>
        <w:t xml:space="preserve">as a qualitative summary of enumerated taxonomic data that can support management decisions. Results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samples,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2021 samples to historical conditions suggested relatively consistent benthic invertebrate community structure from 1993 to present (</w:t>
      </w:r>
      <w:hyperlink r:id="rId62">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3">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4">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Compared to past events, the 2021 event differed from previous releases to the bay in that effluent was discharged directly to lower Tampa Bay instead of through channels, rivers or other back-bay habitats (e.g., Alafia River and Bishop Harbor). The comparison to past years provided a stark contrast of the effect of wastewater discharge location that is specific to Tampa Bay, but can inform understanding of pollutant dispersal and its impacts on different habitats that varies spatially and throughout the water column. The Tampa Bay Coastal Ocean Model</w:t>
      </w:r>
      <w:r>
        <w:t xml:space="preserve"> </w:t>
      </w:r>
      <w:r>
        <w:t xml:space="preserve">(</w:t>
      </w:r>
      <w:hyperlink w:anchor="ref-Chen19">
        <w:r>
          <w:rPr>
            <w:rStyle w:val="Hyperlink"/>
          </w:rPr>
          <w:t xml:space="preserve">Chen et al., 2019</w:t>
        </w:r>
      </w:hyperlink>
      <w:r>
        <w:t xml:space="preserve">)</w:t>
      </w:r>
      <w:r>
        <w:t xml:space="preserve"> </w:t>
      </w:r>
      <w:r>
        <w:t xml:space="preserve">was used to simulate daily tracer particle movement and expected dilution of nutrient concentrations from the point of discharge. Although these results were initially used to inform monitoring locations, the model 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Although simulated particle tracking showed that nutrient dilution occurred rapidly on the order of 10- to 100-fold in a few days, concentrations were considered biologically relevant given the initial concentrations of labile inorganic nitrogen forms from stack effluent (Table</w:t>
      </w:r>
      <w:r>
        <w:t xml:space="preserve"> </w:t>
      </w:r>
      <w:r>
        <w:t xml:space="preserve">1</w:t>
      </w:r>
      <w:r>
        <w:t xml:space="preserve">) relative to background concentrations for the bay (Table</w:t>
      </w:r>
      <w:r>
        <w:t xml:space="preserve"> </w:t>
      </w:r>
      <w:r>
        <w:t xml:space="preserve">2</w:t>
      </w:r>
      <w:r>
        <w:t xml:space="preserve">).</w:t>
      </w:r>
    </w:p>
    <w:p>
      <w:pPr>
        <w:pStyle w:val="BodyText"/>
      </w:pPr>
      <w:r>
        <w:t xml:space="preserve">In the broader context of mining impacts to surface waters, the results herein reinforce the understanding that legacy pollutants from phosphate mining represent a serious threat to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also been affected by gypstack release. Grand Bay is a 7500 hectare protected area in southern Mississippi that has been exposed to phosphorus-rich and highly acidic wastewater release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first spill event in 2005 occurred following failure of the retaining walls after a heavy rain event and the second event in 2012 occurred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can significantly affect coastal resources.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to fully understand acute, short-term threats to the sustained recovery of Tampa Bay. All of the analyses are correlative based on associations between the measured water quality observations, macroalgae, and seagrass results and, as a result, may not represent explicit cause and effect mechanisms. However, the interpretations are supported by previous research on drivers of primary production and eutrophication of coastal waters. The weight of evidence that 2021 is an anomaly relative to recent prior years provides further justification that our interpretation of results is within the limits of what would be expected by more mechanistic descriptions of the effects of large nutrient pulses to Tampa Bay.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wastewater, could provide a more comprehensive description of the recycling and fate of nitrogen from Piney Point. There may likely never be a definitive link, but this is not necessary to support future actions that ensure that the continued threats of these facilities to the health of coastal resources are mitigated through collaborative efforts by local, regional, and state partners. These efforts are critical to managing the health of Tampa Bay given past successes and the need to address ongoing threats of climate change, population growth, habitat loss, episodic weather events, and recurring pollutant sources to the bay.</w:t>
      </w:r>
    </w:p>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9"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arch 30th, 2021 through the end of July with the gradual decline of red tide in Tampa Bay." title="" id="1" name="Picture"/>
            <a:graphic>
              <a:graphicData uri="http://schemas.openxmlformats.org/drawingml/2006/picture">
                <pic:pic>
                  <pic:nvPicPr>
                    <pic:cNvPr descr="T:/04_STAFF/MARCUS/03_GIT/piney-point-manu/figs/timeline.jpeg" id="0" name="Picture"/>
                    <pic:cNvPicPr>
                      <a:picLocks noChangeArrowheads="1" noChangeAspect="1"/>
                    </pic:cNvPicPr>
                  </pic:nvPicPr>
                  <pic:blipFill>
                    <a:blip r:embed="rId68"/>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March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69"/>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Sampled water quality data by week for April to July 2021 in response to wastewater discharge from Piney Point for (a) total nitrogen (mg/L), (b) chlorophyll-a (ug/L), and (c) secchi disk depth (meters).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Figure 1a)." title="" id="1" name="Picture"/>
            <a:graphic>
              <a:graphicData uri="http://schemas.openxmlformats.org/drawingml/2006/picture">
                <pic:pic>
                  <pic:nvPicPr>
                    <pic:cNvPr descr="T:/04_STAFF/MARCUS/03_GIT/piney-point-manu/figs/wqtrnds.jpeg" id="0" name="Picture"/>
                    <pic:cNvPicPr>
                      <a:picLocks noChangeArrowheads="1" noChangeAspect="1"/>
                    </pic:cNvPicPr>
                  </pic:nvPicPr>
                  <pic:blipFill>
                    <a:blip r:embed="rId7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Sampled water quality data by week for April to July 2021 in response to wastewater discharge from Piney Point for (a) total nitrogen (mg/L), (b) chlorophyll-a (ug/L), and (c) secchi disk depth (meters). Observations are aggregated by week and within assessment areas shown in Figure</w:t>
      </w:r>
      <w:r>
        <w:t xml:space="preserve"> </w:t>
      </w:r>
      <w:r>
        <w:t xml:space="preserve">1</w:t>
      </w:r>
      <w:r>
        <w:t xml:space="preserve">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(Figure</w:t>
      </w:r>
      <w:r>
        <w:t xml:space="preserve"> </w:t>
      </w:r>
      <w:r>
        <w:t xml:space="preserve">1</w:t>
      </w:r>
      <w:r>
        <w:t xml:space="preserve">a).</w:t>
      </w:r>
    </w:p>
    <w:p>
      <w:pPr>
        <w:pStyle w:val="CaptionedFigure"/>
      </w:pPr>
      <w:r>
        <w:drawing>
          <wp:inline>
            <wp:extent cx="5943600" cy="4195482"/>
            <wp:effectExtent b="0" l="0" r="0" t="0"/>
            <wp:docPr descr="Figure 5: Predicted (a) total nitrogen (mg/L), (b) chlorophyll-a (ug/L), and (c) secchi disk depth (meters) by area based on historal seasonal models. Estimated trends are based on Generalized Additve Models fit to historical basline data from 2006 to early 2021. Predicted trends from the historical models for dates during and after the Piney Point discharge are shown in thick lines (+/- 95% confidence), with observed samples overlaid on the plots. Results are grouped by assessment areas shown in Figure 1a." title="" id="1" name="Picture"/>
            <a:graphic>
              <a:graphicData uri="http://schemas.openxmlformats.org/drawingml/2006/picture">
                <pic:pic>
                  <pic:nvPicPr>
                    <pic:cNvPr descr="T:/04_STAFF/MARCUS/03_GIT/piney-point-manu/figs/wqgamtrnds.jpeg" id="0" name="Picture"/>
                    <pic:cNvPicPr>
                      <a:picLocks noChangeArrowheads="1" noChangeAspect="1"/>
                    </pic:cNvPicPr>
                  </pic:nvPicPr>
                  <pic:blipFill>
                    <a:blip r:embed="rId71"/>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 Predicted (a) total nitrogen (mg/L), (b) chlorophyll-a (ug/L), and (c) secchi disk depth (meters) by area based on historal seasonal models. Estimated trends are based on Generalized Additve Models fit to historical basline data from 2006 to early 2021. Predicted trends from the historical models for dates during and after the Piney Point discharge are shown in thick lines (+/- 95% confidence), with observed samples overlaid on the plots.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6: Results for (a) seagrass and (b) macroalgae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72"/>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6: Results for (a) seagrass and (b) macroalgae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4457700"/>
            <wp:effectExtent b="0" l="0" r="0" t="0"/>
            <wp:docPr descr="Figure 7: Frequency occurrence estimates for (a) area 1 and (b) area 3 (Figure 1a) for seagrass (top) and macroalgae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73"/>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7: Frequency occurrence estimates for (a) area 1 and (b) area 3 (Figure</w:t>
      </w:r>
      <w:r>
        <w:t xml:space="preserve"> </w:t>
      </w:r>
      <w:r>
        <w:t xml:space="preserve">1</w:t>
      </w:r>
      <w:r>
        <w:t xml:space="preserve">a) for seagrass (top) and macroalgae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w:t>
      </w:r>
    </w:p>
    <w:p>
      <w:pPr>
        <w:pStyle w:val="CaptionedFigure"/>
      </w:pPr>
      <w:r>
        <w:drawing>
          <wp:inline>
            <wp:extent cx="5943600" cy="7264400"/>
            <wp:effectExtent b="0" l="0" r="0" t="0"/>
            <wp:docPr descr="Figure 8: Karenia brevis concentrations (100k cells/L) (a) by year and (b) by week in 2021, (c) fish kill reports in 2021, (d) cumulative precipitation in 2021 compared to past years, (e) cumulative inflow in 2021 compared to past years,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4"/>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8:</w:t>
      </w:r>
      <w:r>
        <w:t xml:space="preserve"> </w:t>
      </w:r>
      <w:r>
        <w:rPr>
          <w:iCs/>
          <w:i/>
        </w:rPr>
        <w:t xml:space="preserve">Karenia brevis</w:t>
      </w:r>
      <w:r>
        <w:t xml:space="preserve"> </w:t>
      </w:r>
      <w:r>
        <w:t xml:space="preserve">concentrations (100k cells/L) (a) by year and (b) by week in 2021, (c) fish kill reports in 2021, (d) cumulative precipitation in 2021 compared to past years, (e) cumulative inflow in 2021 compared to past years,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5">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6">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9: Weekly summarized observations (medians, 2.5th to 97.5th percentiles) across all sampled locations for (a) total nitrogen concentrations, (b) chlorophyll-a concentrations, (c) diatom cell concentrations, (d) Karenia brevis cell concentrations, and (e) cyanobacteria macroalgal abundance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7"/>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9: Weekly summarized observations (medians, 2.5th to 97.5th percentiles) across all sampled locations for (a) total nitrogen concentrations, (b) chlorophyll-a concentrations, (c) diatom cell concentrations, (d)</w:t>
      </w:r>
      <w:r>
        <w:t xml:space="preserve"> </w:t>
      </w:r>
      <w:r>
        <w:rPr>
          <w:iCs/>
          <w:i/>
        </w:rPr>
        <w:t xml:space="preserve">Karenia brevis</w:t>
      </w:r>
      <w:r>
        <w:t xml:space="preserve"> </w:t>
      </w:r>
      <w:r>
        <w:t xml:space="preserve">cell concentrations, and (e) cyanobacteria macroalgal abundances.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p>
      <w:pPr>
        <w:pStyle w:val="CaptionedFigure"/>
      </w:pPr>
      <w:r>
        <w:drawing>
          <wp:inline>
            <wp:extent cx="3200400" cy="3657600"/>
            <wp:effectExtent b="0" l="0" r="0" t="0"/>
            <wp:docPr descr="Figure 10: Ordination results comparing weekly summarized observations across all sampled locations for total nitrogen concentrations, chlorophyll-a concentrations, diatom cell concentrations, Karenia brevis cell concentrations, and cyanobacteria macroalgal abundances. Ordination results are from non-metric multi-dimensional scaling performed on the 97.5th percentile values of observations in each week for each parameter. Observations are grouped by month periods based on phytoplankton (diatoms or K. brevis) or macroalgal dominance." title="" id="1" name="Picture"/>
            <a:graphic>
              <a:graphicData uri="http://schemas.openxmlformats.org/drawingml/2006/picture">
                <pic:pic>
                  <pic:nvPicPr>
                    <pic:cNvPr descr="figs/nutrientfloword.jpeg" id="0" name="Picture"/>
                    <pic:cNvPicPr>
                      <a:picLocks noChangeArrowheads="1" noChangeAspect="1"/>
                    </pic:cNvPicPr>
                  </pic:nvPicPr>
                  <pic:blipFill>
                    <a:blip r:embed="rId78"/>
                    <a:stretch>
                      <a:fillRect/>
                    </a:stretch>
                  </pic:blipFill>
                  <pic:spPr bwMode="auto">
                    <a:xfrm>
                      <a:off x="0" y="0"/>
                      <a:ext cx="3200400" cy="3657600"/>
                    </a:xfrm>
                    <a:prstGeom prst="rect">
                      <a:avLst/>
                    </a:prstGeom>
                    <a:noFill/>
                    <a:ln w="9525">
                      <a:noFill/>
                      <a:headEnd/>
                      <a:tailEnd/>
                    </a:ln>
                  </pic:spPr>
                </pic:pic>
              </a:graphicData>
            </a:graphic>
          </wp:inline>
        </w:drawing>
      </w:r>
    </w:p>
    <w:p>
      <w:pPr>
        <w:pStyle w:val="ImageCaption"/>
      </w:pPr>
      <w:r>
        <w:t xml:space="preserve">Figure 10: Ordination results comparing weekly summarized observations across all sampled locations for total nitrogen concentrations, chlorophyll-a concentrations, diatom cell concentrations,</w:t>
      </w:r>
      <w:r>
        <w:t xml:space="preserve"> </w:t>
      </w:r>
      <w:r>
        <w:rPr>
          <w:iCs/>
          <w:i/>
        </w:rPr>
        <w:t xml:space="preserve">Karenia brevis</w:t>
      </w:r>
      <w:r>
        <w:t xml:space="preserve"> </w:t>
      </w:r>
      <w:r>
        <w:t xml:space="preserve">cell concentrations, and cyanobacteria macroalgal abundances. Ordination results are from non-metric multi-dimensional scaling performed on the 97.5th percentile values of observations in each week for each parameter. Observations are grouped by month periods based on phytoplankton (diatoms or</w:t>
      </w:r>
      <w:r>
        <w:t xml:space="preserve"> </w:t>
      </w:r>
      <w:r>
        <w:rPr>
          <w:iCs/>
          <w:i/>
        </w:rPr>
        <w:t xml:space="preserve">K. brevis</w:t>
      </w:r>
      <w:r>
        <w:t xml:space="preserve">) or macroalgal dominance.</w:t>
      </w:r>
    </w:p>
    <w:bookmarkEnd w:id="79"/>
    <w:bookmarkStart w:id="80"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March to July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 “-” could not be calculated due to insufficient values above detection."/>
      </w:tblPr>
      <w:tblGrid>
        <w:gridCol w:w="425"/>
        <w:gridCol w:w="1958"/>
        <w:gridCol w:w="1788"/>
        <w:gridCol w:w="596"/>
        <w:gridCol w:w="766"/>
        <w:gridCol w:w="510"/>
        <w:gridCol w:w="510"/>
        <w:gridCol w:w="1362"/>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c>
          <w:p>
            <w:pPr>
              <w:pStyle w:val="Compact"/>
              <w:jc w:val="right"/>
            </w:pPr>
            <w:r>
              <w:t xml:space="preserve">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479</w:t>
            </w:r>
          </w:p>
        </w:tc>
        <w:tc>
          <w:p>
            <w:pPr>
              <w:pStyle w:val="Compact"/>
              <w:jc w:val="right"/>
            </w:pPr>
            <w:r>
              <w:t xml:space="preserve">42.8</w:t>
            </w:r>
          </w:p>
        </w:tc>
        <w:tc>
          <w:p>
            <w:pPr>
              <w:pStyle w:val="Compact"/>
              <w:jc w:val="right"/>
            </w:pPr>
            <w:r>
              <w:t xml:space="preserve">50.7</w:t>
            </w:r>
          </w:p>
        </w:tc>
        <w:tc>
          <w:p>
            <w:pPr>
              <w:pStyle w:val="Compact"/>
              <w:jc w:val="right"/>
            </w:pPr>
            <w:r>
              <w:t xml:space="preserve">6.5</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30.0</w:t>
            </w:r>
          </w:p>
        </w:tc>
        <w:tc>
          <w:p>
            <w:pPr>
              <w:pStyle w:val="Compact"/>
              <w:jc w:val="right"/>
            </w:pPr>
            <w:r>
              <w:t xml:space="preserve">53.3</w:t>
            </w:r>
          </w:p>
        </w:tc>
        <w:tc>
          <w:p>
            <w:pPr>
              <w:pStyle w:val="Compact"/>
              <w:jc w:val="right"/>
            </w:pPr>
            <w:r>
              <w:t xml:space="preserve">16.7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489</w:t>
            </w:r>
          </w:p>
        </w:tc>
        <w:tc>
          <w:p>
            <w:pPr>
              <w:pStyle w:val="Compact"/>
              <w:jc w:val="right"/>
            </w:pPr>
            <w:r>
              <w:t xml:space="preserve">65.2</w:t>
            </w:r>
          </w:p>
        </w:tc>
        <w:tc>
          <w:p>
            <w:pPr>
              <w:pStyle w:val="Compact"/>
              <w:jc w:val="right"/>
            </w:pPr>
            <w:r>
              <w:t xml:space="preserve">18.0</w:t>
            </w:r>
          </w:p>
        </w:tc>
        <w:tc>
          <w:p>
            <w:pPr>
              <w:pStyle w:val="Compact"/>
              <w:jc w:val="right"/>
            </w:pPr>
            <w:r>
              <w:t xml:space="preserve">16.8</w:t>
            </w:r>
          </w:p>
        </w:tc>
        <w:tc>
          <w:p>
            <w:pPr>
              <w:pStyle w:val="Compact"/>
              <w:jc w:val="right"/>
            </w:pPr>
            <w:r>
              <w:t xml:space="preserve">26.4</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511</w:t>
            </w:r>
          </w:p>
        </w:tc>
        <w:tc>
          <w:p>
            <w:pPr>
              <w:pStyle w:val="Compact"/>
              <w:jc w:val="right"/>
            </w:pPr>
            <w:r>
              <w:t xml:space="preserve">63.0</w:t>
            </w:r>
          </w:p>
        </w:tc>
        <w:tc>
          <w:p>
            <w:pPr>
              <w:pStyle w:val="Compact"/>
              <w:jc w:val="right"/>
            </w:pPr>
            <w:r>
              <w:t xml:space="preserve">19.0</w:t>
            </w:r>
          </w:p>
        </w:tc>
        <w:tc>
          <w:p>
            <w:pPr>
              <w:pStyle w:val="Compact"/>
              <w:jc w:val="right"/>
            </w:pPr>
            <w:r>
              <w:t xml:space="preserve">18.0</w:t>
            </w:r>
          </w:p>
        </w:tc>
        <w:tc>
          <w:p>
            <w:pPr>
              <w:pStyle w:val="Compact"/>
              <w:jc w:val="right"/>
            </w:pPr>
            <w:r>
              <w:t xml:space="preserve">70.1</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474</w:t>
            </w:r>
          </w:p>
        </w:tc>
        <w:tc>
          <w:p>
            <w:pPr>
              <w:pStyle w:val="Compact"/>
              <w:jc w:val="right"/>
            </w:pPr>
            <w:r>
              <w:t xml:space="preserve">54.0</w:t>
            </w:r>
          </w:p>
        </w:tc>
        <w:tc>
          <w:p>
            <w:pPr>
              <w:pStyle w:val="Compact"/>
              <w:jc w:val="right"/>
            </w:pPr>
            <w:r>
              <w:t xml:space="preserve">31.4</w:t>
            </w:r>
          </w:p>
        </w:tc>
        <w:tc>
          <w:p>
            <w:pPr>
              <w:pStyle w:val="Compact"/>
              <w:jc w:val="right"/>
            </w:pPr>
            <w:r>
              <w:t xml:space="preserve">14.6</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82.3</w:t>
            </w:r>
          </w:p>
        </w:tc>
        <w:tc>
          <w:p>
            <w:pPr>
              <w:pStyle w:val="Compact"/>
              <w:jc w:val="right"/>
            </w:pPr>
            <w:r>
              <w:t xml:space="preserve">4.8</w:t>
            </w:r>
          </w:p>
        </w:tc>
        <w:tc>
          <w:p>
            <w:pPr>
              <w:pStyle w:val="Compact"/>
              <w:jc w:val="right"/>
            </w:pPr>
            <w:r>
              <w:t xml:space="preserve">12.9</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44.1</w:t>
            </w:r>
          </w:p>
        </w:tc>
        <w:tc>
          <w:p>
            <w:pPr>
              <w:pStyle w:val="Compact"/>
              <w:jc w:val="right"/>
            </w:pPr>
            <w:r>
              <w:t xml:space="preserve">22.1</w:t>
            </w:r>
          </w:p>
        </w:tc>
        <w:tc>
          <w:p>
            <w:pPr>
              <w:pStyle w:val="Compact"/>
              <w:jc w:val="right"/>
            </w:pPr>
            <w:r>
              <w:t xml:space="preserve">33.8</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65.4</w:t>
            </w:r>
          </w:p>
        </w:tc>
        <w:tc>
          <w:p>
            <w:pPr>
              <w:pStyle w:val="Compact"/>
              <w:jc w:val="right"/>
            </w:pPr>
            <w:r>
              <w:t xml:space="preserve">15.4</w:t>
            </w:r>
          </w:p>
        </w:tc>
        <w:tc>
          <w:p>
            <w:pPr>
              <w:pStyle w:val="Compact"/>
              <w:jc w:val="right"/>
            </w:pPr>
            <w:r>
              <w:t xml:space="preserve">19.2</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424</w:t>
            </w:r>
          </w:p>
        </w:tc>
        <w:tc>
          <w:p>
            <w:pPr>
              <w:pStyle w:val="Compact"/>
              <w:jc w:val="right"/>
            </w:pPr>
            <w:r>
              <w:t xml:space="preserve">57.8</w:t>
            </w:r>
          </w:p>
        </w:tc>
        <w:tc>
          <w:p>
            <w:pPr>
              <w:pStyle w:val="Compact"/>
              <w:jc w:val="right"/>
            </w:pPr>
            <w:r>
              <w:t xml:space="preserve">37.7</w:t>
            </w:r>
          </w:p>
        </w:tc>
        <w:tc>
          <w:p>
            <w:pPr>
              <w:pStyle w:val="Compact"/>
              <w:jc w:val="right"/>
            </w:pPr>
            <w:r>
              <w:t xml:space="preserve">4.5</w:t>
            </w:r>
          </w:p>
        </w:tc>
        <w:tc>
          <w:p>
            <w:pPr>
              <w:pStyle w:val="Compact"/>
              <w:jc w:val="right"/>
            </w:pPr>
            <w:r>
              <w:t xml:space="preserve">4.0</w:t>
            </w:r>
          </w:p>
        </w:tc>
      </w:tr>
      <w:tr>
        <w:tc>
          <w:p/>
        </w:tc>
        <w:tc>
          <w:p>
            <w:pPr>
              <w:pStyle w:val="Compact"/>
              <w:jc w:val="left"/>
            </w:pPr>
            <w:r>
              <w:t xml:space="preserve">TP (mg/L)</w:t>
            </w:r>
          </w:p>
        </w:tc>
        <w:tc>
          <w:p>
            <w:pPr>
              <w:pStyle w:val="Compact"/>
              <w:jc w:val="left"/>
            </w:pPr>
            <w:r>
              <w:t xml:space="preserve">0.117 (0.019, 3.9)</w:t>
            </w:r>
          </w:p>
        </w:tc>
        <w:tc>
          <w:p>
            <w:pPr>
              <w:pStyle w:val="Compact"/>
              <w:jc w:val="right"/>
            </w:pPr>
            <w:r>
              <w:t xml:space="preserve">479</w:t>
            </w:r>
          </w:p>
        </w:tc>
        <w:tc>
          <w:p>
            <w:pPr>
              <w:pStyle w:val="Compact"/>
              <w:jc w:val="right"/>
            </w:pPr>
            <w:r>
              <w:t xml:space="preserve">80.8</w:t>
            </w:r>
          </w:p>
        </w:tc>
        <w:tc>
          <w:p>
            <w:pPr>
              <w:pStyle w:val="Compact"/>
              <w:jc w:val="right"/>
            </w:pPr>
            <w:r>
              <w:t xml:space="preserve">15.2</w:t>
            </w:r>
          </w:p>
        </w:tc>
        <w:tc>
          <w:p>
            <w:pPr>
              <w:pStyle w:val="Compact"/>
              <w:jc w:val="right"/>
            </w:pPr>
            <w:r>
              <w:t xml:space="preserve">4.0</w:t>
            </w:r>
          </w:p>
        </w:tc>
        <w:tc>
          <w:p>
            <w:pPr>
              <w:pStyle w:val="Compact"/>
              <w:jc w:val="right"/>
            </w:pPr>
            <w:r>
              <w:t xml:space="preserve">0.8</w:t>
            </w:r>
          </w:p>
        </w:tc>
      </w:tr>
      <w:tr>
        <w:tc>
          <w:p>
            <w:pPr>
              <w:pStyle w:val="Compact"/>
              <w:jc w:val="left"/>
            </w:pPr>
            <w:r>
              <w:t xml:space="preserve">2</w:t>
            </w:r>
          </w:p>
        </w:tc>
        <w:tc>
          <w:p>
            <w:pPr>
              <w:pStyle w:val="Compact"/>
              <w:jc w:val="left"/>
            </w:pPr>
            <w:r>
              <w:t xml:space="preserve">Chl-a (ug/L)</w:t>
            </w:r>
          </w:p>
        </w:tc>
        <w:tc>
          <w:p>
            <w:pPr>
              <w:pStyle w:val="Compact"/>
              <w:jc w:val="left"/>
            </w:pPr>
            <w:r>
              <w:t xml:space="preserve">2.62 (1.08, 42)</w:t>
            </w:r>
          </w:p>
        </w:tc>
        <w:tc>
          <w:p>
            <w:pPr>
              <w:pStyle w:val="Compact"/>
              <w:jc w:val="right"/>
            </w:pPr>
            <w:r>
              <w:t xml:space="preserve">75</w:t>
            </w:r>
          </w:p>
        </w:tc>
        <w:tc>
          <w:p>
            <w:pPr>
              <w:pStyle w:val="Compact"/>
              <w:jc w:val="right"/>
            </w:pPr>
            <w:r>
              <w:t xml:space="preserve">60.0</w:t>
            </w:r>
          </w:p>
        </w:tc>
        <w:tc>
          <w:p>
            <w:pPr>
              <w:pStyle w:val="Compact"/>
              <w:jc w:val="right"/>
            </w:pPr>
            <w:r>
              <w:t xml:space="preserve">6.7</w:t>
            </w:r>
          </w:p>
        </w:tc>
        <w:tc>
          <w:p>
            <w:pPr>
              <w:pStyle w:val="Compact"/>
              <w:jc w:val="right"/>
            </w:pPr>
            <w:r>
              <w:t xml:space="preserve">33.3</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42.5</w:t>
            </w:r>
          </w:p>
        </w:tc>
        <w:tc>
          <w:p>
            <w:pPr>
              <w:pStyle w:val="Compact"/>
              <w:jc w:val="right"/>
            </w:pPr>
            <w:r>
              <w:t xml:space="preserve">43.8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(0.002, 0.049)</w:t>
            </w:r>
          </w:p>
        </w:tc>
        <w:tc>
          <w:p>
            <w:pPr>
              <w:pStyle w:val="Compact"/>
              <w:jc w:val="right"/>
            </w:pPr>
            <w:r>
              <w:t xml:space="preserve">73</w:t>
            </w:r>
          </w:p>
        </w:tc>
        <w:tc>
          <w:p>
            <w:pPr>
              <w:pStyle w:val="Compact"/>
              <w:jc w:val="right"/>
            </w:pPr>
            <w:r>
              <w:t xml:space="preserve">86.3</w:t>
            </w:r>
          </w:p>
        </w:tc>
        <w:tc>
          <w:p>
            <w:pPr>
              <w:pStyle w:val="Compact"/>
              <w:jc w:val="right"/>
            </w:pPr>
            <w:r>
              <w:t xml:space="preserve">0.0</w:t>
            </w:r>
          </w:p>
        </w:tc>
        <w:tc>
          <w:p>
            <w:pPr>
              <w:pStyle w:val="Compact"/>
              <w:jc w:val="right"/>
            </w:pPr>
            <w:r>
              <w:t xml:space="preserve">13.7</w:t>
            </w:r>
          </w:p>
        </w:tc>
        <w:tc>
          <w:p>
            <w:pPr>
              <w:pStyle w:val="Compact"/>
              <w:jc w:val="right"/>
            </w:pPr>
            <w:r>
              <w:t xml:space="preserve">28.8</w:t>
            </w:r>
          </w:p>
        </w:tc>
      </w:tr>
      <w:tr>
        <w:tc>
          <w:p/>
        </w:tc>
        <w:tc>
          <w:p>
            <w:pPr>
              <w:pStyle w:val="Compact"/>
              <w:jc w:val="left"/>
            </w:pPr>
            <w:r>
              <w:t xml:space="preserve">Nitrate/Nitrite (mg/L)</w:t>
            </w:r>
          </w:p>
        </w:tc>
        <w:tc>
          <w:p>
            <w:pPr>
              <w:pStyle w:val="Compact"/>
              <w:jc w:val="left"/>
            </w:pPr>
            <w:r>
              <w:t xml:space="preserve">- (0.00078, 0.019)</w:t>
            </w:r>
          </w:p>
        </w:tc>
        <w:tc>
          <w:p>
            <w:pPr>
              <w:pStyle w:val="Compact"/>
              <w:jc w:val="right"/>
            </w:pPr>
            <w:r>
              <w:t xml:space="preserve">84</w:t>
            </w:r>
          </w:p>
        </w:tc>
        <w:tc>
          <w:p>
            <w:pPr>
              <w:pStyle w:val="Compact"/>
              <w:jc w:val="right"/>
            </w:pPr>
            <w:r>
              <w:t xml:space="preserve">65.5</w:t>
            </w:r>
          </w:p>
        </w:tc>
        <w:tc>
          <w:p>
            <w:pPr>
              <w:pStyle w:val="Compact"/>
              <w:jc w:val="right"/>
            </w:pPr>
            <w:r>
              <w:t xml:space="preserve">15.5</w:t>
            </w:r>
          </w:p>
        </w:tc>
        <w:tc>
          <w:p>
            <w:pPr>
              <w:pStyle w:val="Compact"/>
              <w:jc w:val="right"/>
            </w:pPr>
            <w:r>
              <w:t xml:space="preserve">19.0</w:t>
            </w:r>
          </w:p>
        </w:tc>
        <w:tc>
          <w:p>
            <w:pPr>
              <w:pStyle w:val="Compact"/>
              <w:jc w:val="right"/>
            </w:pPr>
            <w:r>
              <w:t xml:space="preserve">83.3</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70.7</w:t>
            </w:r>
          </w:p>
        </w:tc>
        <w:tc>
          <w:p>
            <w:pPr>
              <w:pStyle w:val="Compact"/>
              <w:jc w:val="right"/>
            </w:pPr>
            <w:r>
              <w:t xml:space="preserve">18.5</w:t>
            </w:r>
          </w:p>
        </w:tc>
        <w:tc>
          <w:p>
            <w:pPr>
              <w:pStyle w:val="Compact"/>
              <w:jc w:val="right"/>
            </w:pPr>
            <w:r>
              <w:t xml:space="preserve">10.9</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90.4</w:t>
            </w:r>
          </w:p>
        </w:tc>
        <w:tc>
          <w:p>
            <w:pPr>
              <w:pStyle w:val="Compact"/>
              <w:jc w:val="right"/>
            </w:pPr>
            <w:r>
              <w:t xml:space="preserve">0.0</w:t>
            </w:r>
          </w:p>
        </w:tc>
        <w:tc>
          <w:p>
            <w:pPr>
              <w:pStyle w:val="Compact"/>
              <w:jc w:val="right"/>
            </w:pPr>
            <w:r>
              <w:t xml:space="preserve">9.6</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51.9</w:t>
            </w:r>
          </w:p>
        </w:tc>
        <w:tc>
          <w:p>
            <w:pPr>
              <w:pStyle w:val="Compact"/>
              <w:jc w:val="right"/>
            </w:pPr>
            <w:r>
              <w:t xml:space="preserve">29.6</w:t>
            </w:r>
          </w:p>
        </w:tc>
        <w:tc>
          <w:p>
            <w:pPr>
              <w:pStyle w:val="Compact"/>
              <w:jc w:val="right"/>
            </w:pPr>
            <w:r>
              <w:t xml:space="preserve">18.5</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72.6</w:t>
            </w:r>
          </w:p>
        </w:tc>
        <w:tc>
          <w:p>
            <w:pPr>
              <w:pStyle w:val="Compact"/>
              <w:jc w:val="right"/>
            </w:pPr>
            <w:r>
              <w:t xml:space="preserve">6.8</w:t>
            </w:r>
          </w:p>
        </w:tc>
        <w:tc>
          <w:p>
            <w:pPr>
              <w:pStyle w:val="Compact"/>
              <w:jc w:val="right"/>
            </w:pPr>
            <w:r>
              <w:t xml:space="preserve">20.5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(0.068, 1.13)</w:t>
            </w:r>
          </w:p>
        </w:tc>
        <w:tc>
          <w:p>
            <w:pPr>
              <w:pStyle w:val="Compact"/>
              <w:jc w:val="right"/>
            </w:pPr>
            <w:r>
              <w:t xml:space="preserve">60</w:t>
            </w:r>
          </w:p>
        </w:tc>
        <w:tc>
          <w:p>
            <w:pPr>
              <w:pStyle w:val="Compact"/>
              <w:jc w:val="right"/>
            </w:pPr>
            <w:r>
              <w:t xml:space="preserve">63.3</w:t>
            </w:r>
          </w:p>
        </w:tc>
        <w:tc>
          <w:p>
            <w:pPr>
              <w:pStyle w:val="Compact"/>
              <w:jc w:val="right"/>
            </w:pPr>
            <w:r>
              <w:t xml:space="preserve">23.3</w:t>
            </w:r>
          </w:p>
        </w:tc>
        <w:tc>
          <w:p>
            <w:pPr>
              <w:pStyle w:val="Compact"/>
              <w:jc w:val="right"/>
            </w:pPr>
            <w:r>
              <w:t xml:space="preserve">13.3</w:t>
            </w:r>
          </w:p>
        </w:tc>
        <w:tc>
          <w:p>
            <w:pPr>
              <w:pStyle w:val="Compact"/>
              <w:jc w:val="right"/>
            </w:pPr>
            <w:r>
              <w:t xml:space="preserve">15.0</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64</w:t>
            </w:r>
          </w:p>
        </w:tc>
        <w:tc>
          <w:p>
            <w:pPr>
              <w:pStyle w:val="Compact"/>
              <w:jc w:val="right"/>
            </w:pPr>
            <w:r>
              <w:t xml:space="preserve">57.8</w:t>
            </w:r>
          </w:p>
        </w:tc>
        <w:tc>
          <w:p>
            <w:pPr>
              <w:pStyle w:val="Compact"/>
              <w:jc w:val="right"/>
            </w:pPr>
            <w:r>
              <w:t xml:space="preserve">12.5</w:t>
            </w:r>
          </w:p>
        </w:tc>
        <w:tc>
          <w:p>
            <w:pPr>
              <w:pStyle w:val="Compact"/>
              <w:jc w:val="right"/>
            </w:pPr>
            <w:r>
              <w:t xml:space="preserve">29.7</w:t>
            </w:r>
          </w:p>
        </w:tc>
        <w:tc>
          <w:p>
            <w:pPr>
              <w:pStyle w:val="Compact"/>
              <w:jc w:val="right"/>
            </w:pPr>
            <w:r>
              <w:t xml:space="preserve">0.0</w:t>
            </w:r>
          </w:p>
        </w:tc>
      </w:tr>
      <w:tr>
        <w:tc>
          <w:p>
            <w:pPr>
              <w:pStyle w:val="Compact"/>
              <w:jc w:val="left"/>
            </w:pPr>
            <w:r>
              <w:t xml:space="preserve">3</w:t>
            </w:r>
          </w:p>
        </w:tc>
        <w:tc>
          <w:p>
            <w:pPr>
              <w:pStyle w:val="Compact"/>
              <w:jc w:val="left"/>
            </w:pPr>
            <w:r>
              <w:t xml:space="preserve">Chl-a (ug/L)</w:t>
            </w:r>
          </w:p>
        </w:tc>
        <w:tc>
          <w:p>
            <w:pPr>
              <w:pStyle w:val="Compact"/>
              <w:jc w:val="left"/>
            </w:pPr>
            <w:r>
              <w:t xml:space="preserve">2.8 (0.93, 25.9)</w:t>
            </w:r>
          </w:p>
        </w:tc>
        <w:tc>
          <w:p>
            <w:pPr>
              <w:pStyle w:val="Compact"/>
              <w:jc w:val="right"/>
            </w:pPr>
            <w:r>
              <w:t xml:space="preserve">247</w:t>
            </w:r>
          </w:p>
        </w:tc>
        <w:tc>
          <w:p>
            <w:pPr>
              <w:pStyle w:val="Compact"/>
              <w:jc w:val="right"/>
            </w:pPr>
            <w:r>
              <w:t xml:space="preserve">68.4</w:t>
            </w:r>
          </w:p>
        </w:tc>
        <w:tc>
          <w:p>
            <w:pPr>
              <w:pStyle w:val="Compact"/>
              <w:jc w:val="right"/>
            </w:pPr>
            <w:r>
              <w:t xml:space="preserve">23.1</w:t>
            </w:r>
          </w:p>
        </w:tc>
        <w:tc>
          <w:p>
            <w:pPr>
              <w:pStyle w:val="Compact"/>
              <w:jc w:val="right"/>
            </w:pPr>
            <w:r>
              <w:t xml:space="preserve">8.5</w:t>
            </w:r>
          </w:p>
        </w:tc>
        <w:tc>
          <w:p>
            <w:pPr>
              <w:pStyle w:val="Compact"/>
              <w:jc w:val="right"/>
            </w:pPr>
            <w:r>
              <w:t xml:space="preserve">0.4</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52.9</w:t>
            </w:r>
          </w:p>
        </w:tc>
        <w:tc>
          <w:p>
            <w:pPr>
              <w:pStyle w:val="Compact"/>
              <w:jc w:val="right"/>
            </w:pPr>
            <w:r>
              <w:t xml:space="preserve">26.5</w:t>
            </w:r>
          </w:p>
        </w:tc>
        <w:tc>
          <w:p>
            <w:pPr>
              <w:pStyle w:val="Compact"/>
              <w:jc w:val="right"/>
            </w:pPr>
            <w:r>
              <w:t xml:space="preserve">20.6</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241</w:t>
            </w:r>
          </w:p>
        </w:tc>
        <w:tc>
          <w:p>
            <w:pPr>
              <w:pStyle w:val="Compact"/>
              <w:jc w:val="right"/>
            </w:pPr>
            <w:r>
              <w:t xml:space="preserve">53.5</w:t>
            </w:r>
          </w:p>
        </w:tc>
        <w:tc>
          <w:p>
            <w:pPr>
              <w:pStyle w:val="Compact"/>
              <w:jc w:val="right"/>
            </w:pPr>
            <w:r>
              <w:t xml:space="preserve">0.0</w:t>
            </w:r>
          </w:p>
        </w:tc>
        <w:tc>
          <w:p>
            <w:pPr>
              <w:pStyle w:val="Compact"/>
              <w:jc w:val="right"/>
            </w:pPr>
            <w:r>
              <w:t xml:space="preserve">46.5</w:t>
            </w:r>
          </w:p>
        </w:tc>
        <w:tc>
          <w:p>
            <w:pPr>
              <w:pStyle w:val="Compact"/>
              <w:jc w:val="right"/>
            </w:pPr>
            <w:r>
              <w:t xml:space="preserve">53.5</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260</w:t>
            </w:r>
          </w:p>
        </w:tc>
        <w:tc>
          <w:p>
            <w:pPr>
              <w:pStyle w:val="Compact"/>
              <w:jc w:val="right"/>
            </w:pPr>
            <w:r>
              <w:t xml:space="preserve">58.8</w:t>
            </w:r>
          </w:p>
        </w:tc>
        <w:tc>
          <w:p>
            <w:pPr>
              <w:pStyle w:val="Compact"/>
              <w:jc w:val="right"/>
            </w:pPr>
            <w:r>
              <w:t xml:space="preserve">9.6</w:t>
            </w:r>
          </w:p>
        </w:tc>
        <w:tc>
          <w:p>
            <w:pPr>
              <w:pStyle w:val="Compact"/>
              <w:jc w:val="right"/>
            </w:pPr>
            <w:r>
              <w:t xml:space="preserve">31.5</w:t>
            </w:r>
          </w:p>
        </w:tc>
        <w:tc>
          <w:p>
            <w:pPr>
              <w:pStyle w:val="Compact"/>
              <w:jc w:val="right"/>
            </w:pPr>
            <w:r>
              <w:t xml:space="preserve">92.7</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71.1</w:t>
            </w:r>
          </w:p>
        </w:tc>
        <w:tc>
          <w:p>
            <w:pPr>
              <w:pStyle w:val="Compact"/>
              <w:jc w:val="right"/>
            </w:pPr>
            <w:r>
              <w:t xml:space="preserve">21.1</w:t>
            </w:r>
          </w:p>
        </w:tc>
        <w:tc>
          <w:p>
            <w:pPr>
              <w:pStyle w:val="Compact"/>
              <w:jc w:val="right"/>
            </w:pPr>
            <w:r>
              <w:t xml:space="preserve">7.7</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81.0</w:t>
            </w:r>
          </w:p>
        </w:tc>
        <w:tc>
          <w:p>
            <w:pPr>
              <w:pStyle w:val="Compact"/>
              <w:jc w:val="right"/>
            </w:pPr>
            <w:r>
              <w:t xml:space="preserve">7.8</w:t>
            </w:r>
          </w:p>
        </w:tc>
        <w:tc>
          <w:p>
            <w:pPr>
              <w:pStyle w:val="Compact"/>
              <w:jc w:val="right"/>
            </w:pPr>
            <w:r>
              <w:t xml:space="preserve">11.2</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48.5</w:t>
            </w:r>
          </w:p>
        </w:tc>
        <w:tc>
          <w:p>
            <w:pPr>
              <w:pStyle w:val="Compact"/>
              <w:jc w:val="right"/>
            </w:pPr>
            <w:r>
              <w:t xml:space="preserve">16.5</w:t>
            </w:r>
          </w:p>
        </w:tc>
        <w:tc>
          <w:p>
            <w:pPr>
              <w:pStyle w:val="Compact"/>
              <w:jc w:val="right"/>
            </w:pPr>
            <w:r>
              <w:t xml:space="preserve">35.0</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63.9</w:t>
            </w:r>
          </w:p>
        </w:tc>
        <w:tc>
          <w:p>
            <w:pPr>
              <w:pStyle w:val="Compact"/>
              <w:jc w:val="right"/>
            </w:pPr>
            <w:r>
              <w:t xml:space="preserve">12.6</w:t>
            </w:r>
          </w:p>
        </w:tc>
        <w:tc>
          <w:p>
            <w:pPr>
              <w:pStyle w:val="Compact"/>
              <w:jc w:val="right"/>
            </w:pPr>
            <w:r>
              <w:t xml:space="preserve">23.5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242</w:t>
            </w:r>
          </w:p>
        </w:tc>
        <w:tc>
          <w:p>
            <w:pPr>
              <w:pStyle w:val="Compact"/>
              <w:jc w:val="right"/>
            </w:pPr>
            <w:r>
              <w:t xml:space="preserve">72.3</w:t>
            </w:r>
          </w:p>
        </w:tc>
        <w:tc>
          <w:p>
            <w:pPr>
              <w:pStyle w:val="Compact"/>
              <w:jc w:val="right"/>
            </w:pPr>
            <w:r>
              <w:t xml:space="preserve">22.3</w:t>
            </w:r>
          </w:p>
        </w:tc>
        <w:tc>
          <w:p>
            <w:pPr>
              <w:pStyle w:val="Compact"/>
              <w:jc w:val="right"/>
            </w:pPr>
            <w:r>
              <w:t xml:space="preserve">5.4</w:t>
            </w:r>
          </w:p>
        </w:tc>
        <w:tc>
          <w:p>
            <w:pPr>
              <w:pStyle w:val="Compact"/>
              <w:jc w:val="right"/>
            </w:pPr>
            <w:r>
              <w:t xml:space="preserve">10.3</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249</w:t>
            </w:r>
          </w:p>
        </w:tc>
        <w:tc>
          <w:p>
            <w:pPr>
              <w:pStyle w:val="Compact"/>
              <w:jc w:val="right"/>
            </w:pPr>
            <w:r>
              <w:t xml:space="preserve">78.3</w:t>
            </w:r>
          </w:p>
        </w:tc>
        <w:tc>
          <w:p>
            <w:pPr>
              <w:pStyle w:val="Compact"/>
              <w:jc w:val="right"/>
            </w:pPr>
            <w:r>
              <w:t xml:space="preserve">9.6</w:t>
            </w:r>
          </w:p>
        </w:tc>
        <w:tc>
          <w:p>
            <w:pPr>
              <w:pStyle w:val="Compact"/>
              <w:jc w:val="right"/>
            </w:pPr>
            <w:r>
              <w:t xml:space="preserve">12.0</w:t>
            </w:r>
          </w:p>
        </w:tc>
        <w:tc>
          <w:p>
            <w:pPr>
              <w:pStyle w:val="Compact"/>
              <w:jc w:val="right"/>
            </w:pPr>
            <w:r>
              <w:t xml:space="preserve">15.7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TN (mg/L)</w:t>
            </w:r>
          </w:p>
        </w:tc>
        <w:tc>
          <w:p>
            <w:pPr>
              <w:pStyle w:val="Compact"/>
              <w:jc w:val="left"/>
            </w:pPr>
            <w:r>
              <w:t xml:space="preserve">30.16**</w:t>
            </w:r>
          </w:p>
        </w:tc>
        <w:tc>
          <w:p>
            <w:pPr>
              <w:pStyle w:val="Compact"/>
              <w:jc w:val="left"/>
            </w:pPr>
            <w:r>
              <w:t xml:space="preserve">ab</w:t>
            </w:r>
          </w:p>
        </w:tc>
        <w:tc>
          <w:p>
            <w:pPr>
              <w:pStyle w:val="Compact"/>
              <w:jc w:val="left"/>
            </w:pPr>
            <w:r>
              <w:t xml:space="preserve">Apr</w:t>
            </w:r>
          </w:p>
        </w:tc>
        <w:tc>
          <w:p>
            <w:pPr>
              <w:pStyle w:val="Compact"/>
              <w:jc w:val="right"/>
            </w:pPr>
            <w:r>
              <w:t xml:space="preserve">135</w:t>
            </w:r>
          </w:p>
        </w:tc>
        <w:tc>
          <w:p>
            <w:pPr>
              <w:pStyle w:val="Compact"/>
              <w:jc w:val="left"/>
            </w:pPr>
            <w:r>
              <w:t xml:space="preserve">0.39 (0.22, 5.6)</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32</w:t>
            </w:r>
          </w:p>
        </w:tc>
        <w:tc>
          <w:p>
            <w:pPr>
              <w:pStyle w:val="Compact"/>
              <w:jc w:val="left"/>
            </w:pPr>
            <w:r>
              <w:t xml:space="preserve">0.36 (0.24, 0.83)</w:t>
            </w:r>
          </w:p>
        </w:tc>
      </w:tr>
      <w:tr>
        <w:tc>
          <w:p/>
        </w:tc>
        <w:tc>
          <w:p/>
        </w:tc>
        <w:tc>
          <w:p/>
        </w:tc>
        <w:tc>
          <w:p>
            <w:pPr>
              <w:pStyle w:val="Compact"/>
              <w:jc w:val="left"/>
            </w:pPr>
            <w:r>
              <w:t xml:space="preserve">bc</w:t>
            </w:r>
          </w:p>
        </w:tc>
        <w:tc>
          <w:p>
            <w:pPr>
              <w:pStyle w:val="Compact"/>
              <w:jc w:val="left"/>
            </w:pPr>
            <w:r>
              <w:t xml:space="preserve">Jun</w:t>
            </w:r>
          </w:p>
        </w:tc>
        <w:tc>
          <w:p>
            <w:pPr>
              <w:pStyle w:val="Compact"/>
              <w:jc w:val="right"/>
            </w:pPr>
            <w:r>
              <w:t xml:space="preserve">38</w:t>
            </w:r>
          </w:p>
        </w:tc>
        <w:tc>
          <w:p>
            <w:pPr>
              <w:pStyle w:val="Compact"/>
              <w:jc w:val="left"/>
            </w:pPr>
            <w:r>
              <w:t xml:space="preserve">0.43 (0.31, 1.1)</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24</w:t>
            </w:r>
          </w:p>
        </w:tc>
        <w:tc>
          <w:p>
            <w:pPr>
              <w:pStyle w:val="Compact"/>
              <w:jc w:val="left"/>
            </w:pPr>
            <w:r>
              <w:t xml:space="preserve">0.52 (0.35, 1.4)</w:t>
            </w:r>
          </w:p>
        </w:tc>
      </w:tr>
      <w:tr>
        <w:tc>
          <w:p/>
        </w:tc>
        <w:tc>
          <w:p/>
        </w:tc>
        <w:tc>
          <w:p/>
        </w:tc>
        <w:tc>
          <w:p>
            <w:pPr>
              <w:pStyle w:val="Compact"/>
              <w:jc w:val="left"/>
            </w:pPr>
            <w:r>
              <w:t xml:space="preserve">bc</w:t>
            </w:r>
          </w:p>
        </w:tc>
        <w:tc>
          <w:p>
            <w:pPr>
              <w:pStyle w:val="Compact"/>
              <w:jc w:val="left"/>
            </w:pPr>
            <w:r>
              <w:t xml:space="preserve">Aug</w:t>
            </w:r>
          </w:p>
        </w:tc>
        <w:tc>
          <w:p>
            <w:pPr>
              <w:pStyle w:val="Compact"/>
              <w:jc w:val="right"/>
            </w:pPr>
            <w:r>
              <w:t xml:space="preserve">25</w:t>
            </w:r>
          </w:p>
        </w:tc>
        <w:tc>
          <w:p>
            <w:pPr>
              <w:pStyle w:val="Compact"/>
              <w:jc w:val="left"/>
            </w:pPr>
            <w:r>
              <w:t xml:space="preserve">0.47 (0.36, 1.2)</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left"/>
            </w:pPr>
            <w:r>
              <w:t xml:space="preserve">0.39 (0.32, 0.81)</w:t>
            </w:r>
          </w:p>
        </w:tc>
      </w:tr>
      <w:tr>
        <w:tc>
          <w:p/>
        </w:tc>
        <w:tc>
          <w:p>
            <w:pPr>
              <w:pStyle w:val="Compact"/>
              <w:jc w:val="left"/>
            </w:pPr>
            <w:r>
              <w:t xml:space="preserve">Chl-a (ug/L)</w:t>
            </w:r>
          </w:p>
        </w:tc>
        <w:tc>
          <w:p>
            <w:pPr>
              <w:pStyle w:val="Compact"/>
              <w:jc w:val="left"/>
            </w:pPr>
            <w:r>
              <w:t xml:space="preserve">45.2**</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left"/>
            </w:pPr>
            <w:r>
              <w:t xml:space="preserve">3.3 (1.1, 41)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32</w:t>
            </w:r>
          </w:p>
        </w:tc>
        <w:tc>
          <w:p>
            <w:pPr>
              <w:pStyle w:val="Compact"/>
              <w:jc w:val="left"/>
            </w:pPr>
            <w:r>
              <w:t xml:space="preserve">2.4 (1.3, 12)</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38</w:t>
            </w:r>
          </w:p>
        </w:tc>
        <w:tc>
          <w:p>
            <w:pPr>
              <w:pStyle w:val="Compact"/>
              <w:jc w:val="left"/>
            </w:pPr>
            <w:r>
              <w:t xml:space="preserve">6.6 (2.7, 28)</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left"/>
            </w:pPr>
            <w:r>
              <w:t xml:space="preserve">5.6 (3, 120)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27</w:t>
            </w:r>
          </w:p>
        </w:tc>
        <w:tc>
          <w:p>
            <w:pPr>
              <w:pStyle w:val="Compact"/>
              <w:jc w:val="left"/>
            </w:pPr>
            <w:r>
              <w:t xml:space="preserve">3.3 (2, 24)</w:t>
            </w:r>
          </w:p>
        </w:tc>
      </w:tr>
      <w:tr>
        <w:tc>
          <w:p/>
        </w:tc>
        <w:tc>
          <w:p>
            <w:pPr>
              <w:pStyle w:val="Compact"/>
              <w:jc w:val="left"/>
            </w:pPr>
            <w:r>
              <w:t xml:space="preserve">Secchi (m)</w:t>
            </w:r>
          </w:p>
        </w:tc>
        <w:tc>
          <w:p>
            <w:pPr>
              <w:pStyle w:val="Compact"/>
              <w:jc w:val="left"/>
            </w:pPr>
            <w:r>
              <w:t xml:space="preserve">50.15**</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left"/>
            </w:pPr>
            <w:r>
              <w:t xml:space="preserve">2.9 (0.8, 5.5)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28</w:t>
            </w:r>
          </w:p>
        </w:tc>
        <w:tc>
          <w:p>
            <w:pPr>
              <w:pStyle w:val="Compact"/>
              <w:jc w:val="left"/>
            </w:pPr>
            <w:r>
              <w:t xml:space="preserve">3 (1.6, 3.6)</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left"/>
            </w:pPr>
            <w:r>
              <w:t xml:space="preserve">2 (0.5, 3)</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left"/>
            </w:pPr>
            <w:r>
              <w:t xml:space="preserve">2 (0.8, 3.5)</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15</w:t>
            </w:r>
          </w:p>
        </w:tc>
        <w:tc>
          <w:p>
            <w:pPr>
              <w:pStyle w:val="Compact"/>
              <w:jc w:val="left"/>
            </w:pPr>
            <w:r>
              <w:t xml:space="preserve">3.5 (0.9, 9.5)</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12</w:t>
            </w:r>
          </w:p>
        </w:tc>
        <w:tc>
          <w:p>
            <w:pPr>
              <w:pStyle w:val="Compact"/>
              <w:jc w:val="left"/>
            </w:pPr>
            <w:r>
              <w:t xml:space="preserve">3.6 (1.8, 4.5)</w:t>
            </w:r>
          </w:p>
        </w:tc>
      </w:tr>
      <w:tr>
        <w:tc>
          <w:p>
            <w:pPr>
              <w:pStyle w:val="Compact"/>
              <w:jc w:val="left"/>
            </w:pPr>
            <w:r>
              <w:t xml:space="preserve">2</w:t>
            </w:r>
          </w:p>
        </w:tc>
        <w:tc>
          <w:p>
            <w:pPr>
              <w:pStyle w:val="Compact"/>
              <w:jc w:val="left"/>
            </w:pPr>
            <w:r>
              <w:t xml:space="preserve">TN (mg/L)</w:t>
            </w:r>
          </w:p>
        </w:tc>
        <w:tc>
          <w:p>
            <w:pPr>
              <w:pStyle w:val="Compact"/>
              <w:jc w:val="left"/>
            </w:pPr>
            <w:r>
              <w:t xml:space="preserve">17.93**</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left"/>
            </w:pPr>
            <w:r>
              <w:t xml:space="preserve">0.39 (0.26, 0.48)</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left"/>
            </w:pPr>
            <w:r>
              <w:t xml:space="preserve">0.39 (0.31, 0.44)</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left"/>
            </w:pPr>
            <w:r>
              <w:t xml:space="preserve">0.5 (0.45, 0.67)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left"/>
            </w:pPr>
            <w:r>
              <w:t xml:space="preserve">0.51 (0.49, 0.66)</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left"/>
            </w:pPr>
            <w:r>
              <w:t xml:space="preserve">0.54 (0.46, 0.69)</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w:t>
            </w:r>
          </w:p>
        </w:tc>
        <w:tc>
          <w:p>
            <w:pPr>
              <w:pStyle w:val="Compact"/>
              <w:jc w:val="left"/>
            </w:pPr>
            <w:r>
              <w:t xml:space="preserve">0.57 (0.57, 0.57)</w:t>
            </w:r>
          </w:p>
        </w:tc>
      </w:tr>
      <w:tr>
        <w:tc>
          <w:p/>
        </w:tc>
        <w:tc>
          <w:p>
            <w:pPr>
              <w:pStyle w:val="Compact"/>
              <w:jc w:val="left"/>
            </w:pPr>
            <w:r>
              <w:t xml:space="preserve">Chl-a (ug/L)</w:t>
            </w:r>
          </w:p>
        </w:tc>
        <w:tc>
          <w:p>
            <w:pPr>
              <w:pStyle w:val="Compact"/>
              <w:jc w:val="left"/>
            </w:pPr>
            <w:r>
              <w:t xml:space="preserve">20.96**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left"/>
            </w:pPr>
            <w:r>
              <w:t xml:space="preserve">2.5 (1.5, 4.6)</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4</w:t>
            </w:r>
          </w:p>
        </w:tc>
        <w:tc>
          <w:p>
            <w:pPr>
              <w:pStyle w:val="Compact"/>
              <w:jc w:val="left"/>
            </w:pPr>
            <w:r>
              <w:t xml:space="preserve">2.15 (1.9, 3.6)</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4</w:t>
            </w:r>
          </w:p>
        </w:tc>
        <w:tc>
          <w:p>
            <w:pPr>
              <w:pStyle w:val="Compact"/>
              <w:jc w:val="left"/>
            </w:pPr>
            <w:r>
              <w:t xml:space="preserve">6 (3.9, 42)</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left"/>
            </w:pPr>
            <w:r>
              <w:t xml:space="preserve">7.2 (6, 15)</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left"/>
            </w:pPr>
            <w:r>
              <w:t xml:space="preserve">5.2 (3.9, 5.8)</w:t>
            </w:r>
          </w:p>
        </w:tc>
      </w:tr>
      <w:tr>
        <w:tc>
          <w:p/>
        </w:tc>
        <w:tc>
          <w:p>
            <w:pPr>
              <w:pStyle w:val="Compact"/>
              <w:jc w:val="left"/>
            </w:pPr>
            <w:r>
              <w:t xml:space="preserve">Secchi (m)</w:t>
            </w:r>
          </w:p>
        </w:tc>
        <w:tc>
          <w:p>
            <w:pPr>
              <w:pStyle w:val="Compact"/>
              <w:jc w:val="left"/>
            </w:pPr>
            <w:r>
              <w:t xml:space="preserve">2.38</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left"/>
            </w:pPr>
            <w:r>
              <w:t xml:space="preserve">2 (0.5, 3.5)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left"/>
            </w:pPr>
            <w:r>
              <w:t xml:space="preserve">2 (2, 2)</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left"/>
            </w:pPr>
            <w:r>
              <w:t xml:space="preserve">2.1 (1.5, 2.1)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left"/>
            </w:pPr>
            <w:r>
              <w:t xml:space="preserve">1.4 (1.4, 1.4)</w:t>
            </w:r>
          </w:p>
        </w:tc>
      </w:tr>
      <w:tr>
        <w:tc>
          <w:p>
            <w:pPr>
              <w:pStyle w:val="Compact"/>
              <w:jc w:val="left"/>
            </w:pPr>
            <w:r>
              <w:t xml:space="preserve">3</w:t>
            </w:r>
          </w:p>
        </w:tc>
        <w:tc>
          <w:p>
            <w:pPr>
              <w:pStyle w:val="Compact"/>
              <w:jc w:val="left"/>
            </w:pPr>
            <w:r>
              <w:t xml:space="preserve">TN (mg/L)</w:t>
            </w:r>
          </w:p>
        </w:tc>
        <w:tc>
          <w:p>
            <w:pPr>
              <w:pStyle w:val="Compact"/>
              <w:jc w:val="left"/>
            </w:pPr>
            <w:r>
              <w:t xml:space="preserve">12.76*</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left"/>
            </w:pPr>
            <w:r>
              <w:t xml:space="preserve">0.33 (0.22, 0.48)</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left"/>
            </w:pPr>
            <w:r>
              <w:t xml:space="preserve">0.335 (0.26, 0.43)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10</w:t>
            </w:r>
          </w:p>
        </w:tc>
        <w:tc>
          <w:p>
            <w:pPr>
              <w:pStyle w:val="Compact"/>
              <w:jc w:val="left"/>
            </w:pPr>
            <w:r>
              <w:t xml:space="preserve">0.35 (0.32, 0.72)</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left"/>
            </w:pPr>
            <w:r>
              <w:t xml:space="preserve">0.365 (0.31, 0.63)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4</w:t>
            </w:r>
          </w:p>
        </w:tc>
        <w:tc>
          <w:p>
            <w:pPr>
              <w:pStyle w:val="Compact"/>
              <w:jc w:val="left"/>
            </w:pPr>
            <w:r>
              <w:t xml:space="preserve">0.435 (0.3, 0.47)</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7</w:t>
            </w:r>
          </w:p>
        </w:tc>
        <w:tc>
          <w:p>
            <w:pPr>
              <w:pStyle w:val="Compact"/>
              <w:jc w:val="left"/>
            </w:pPr>
            <w:r>
              <w:t xml:space="preserve">0.38 (0.26, 0.52)</w:t>
            </w:r>
          </w:p>
        </w:tc>
      </w:tr>
      <w:tr>
        <w:tc>
          <w:p/>
        </w:tc>
        <w:tc>
          <w:p>
            <w:pPr>
              <w:pStyle w:val="Compact"/>
              <w:jc w:val="left"/>
            </w:pPr>
            <w:r>
              <w:t xml:space="preserve">Chl-a (ug/L)</w:t>
            </w:r>
          </w:p>
        </w:tc>
        <w:tc>
          <w:p>
            <w:pPr>
              <w:pStyle w:val="Compact"/>
              <w:jc w:val="left"/>
            </w:pPr>
            <w:r>
              <w:t xml:space="preserve">39.58**</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left"/>
            </w:pPr>
            <w:r>
              <w:t xml:space="preserve">1.9 (1, 4.1)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16</w:t>
            </w:r>
          </w:p>
        </w:tc>
        <w:tc>
          <w:p>
            <w:pPr>
              <w:pStyle w:val="Compact"/>
              <w:jc w:val="left"/>
            </w:pPr>
            <w:r>
              <w:t xml:space="preserve">2.35 (1.7, 3.4)</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left"/>
            </w:pPr>
            <w:r>
              <w:t xml:space="preserve">2.8 (1.8, 3.6)</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8</w:t>
            </w:r>
          </w:p>
        </w:tc>
        <w:tc>
          <w:p>
            <w:pPr>
              <w:pStyle w:val="Compact"/>
              <w:jc w:val="left"/>
            </w:pPr>
            <w:r>
              <w:t xml:space="preserve">4.15 (3.1, 16)</w:t>
            </w:r>
          </w:p>
        </w:tc>
      </w:tr>
      <w:tr>
        <w:tc>
          <w:p/>
        </w:tc>
        <w:tc>
          <w:p/>
        </w:tc>
        <w:tc>
          <w:p/>
        </w:tc>
        <w:tc>
          <w:p>
            <w:pPr>
              <w:pStyle w:val="Compact"/>
              <w:jc w:val="left"/>
            </w:pPr>
            <w:r>
              <w:t xml:space="preserve">abc</w:t>
            </w:r>
          </w:p>
        </w:tc>
        <w:tc>
          <w:p>
            <w:pPr>
              <w:pStyle w:val="Compact"/>
              <w:jc w:val="left"/>
            </w:pPr>
            <w:r>
              <w:t xml:space="preserve">Aug</w:t>
            </w:r>
          </w:p>
        </w:tc>
        <w:tc>
          <w:p>
            <w:pPr>
              <w:pStyle w:val="Compact"/>
              <w:jc w:val="right"/>
            </w:pPr>
            <w:r>
              <w:t xml:space="preserve">4</w:t>
            </w:r>
          </w:p>
        </w:tc>
        <w:tc>
          <w:p>
            <w:pPr>
              <w:pStyle w:val="Compact"/>
              <w:jc w:val="left"/>
            </w:pPr>
            <w:r>
              <w:t xml:space="preserve">3.2 (3.1, 6.5)</w:t>
            </w:r>
          </w:p>
        </w:tc>
      </w:tr>
      <w:tr>
        <w:tc>
          <w:p/>
        </w:tc>
        <w:tc>
          <w:p/>
        </w:tc>
        <w:tc>
          <w:p/>
        </w:tc>
        <w:tc>
          <w:p>
            <w:pPr>
              <w:pStyle w:val="Compact"/>
              <w:jc w:val="left"/>
            </w:pPr>
            <w:r>
              <w:t xml:space="preserve">bc</w:t>
            </w:r>
          </w:p>
        </w:tc>
        <w:tc>
          <w:p>
            <w:pPr>
              <w:pStyle w:val="Compact"/>
              <w:jc w:val="left"/>
            </w:pPr>
            <w:r>
              <w:t xml:space="preserve">Sep</w:t>
            </w:r>
          </w:p>
        </w:tc>
        <w:tc>
          <w:p>
            <w:pPr>
              <w:pStyle w:val="Compact"/>
              <w:jc w:val="right"/>
            </w:pPr>
            <w:r>
              <w:t xml:space="preserve">8</w:t>
            </w:r>
          </w:p>
        </w:tc>
        <w:tc>
          <w:p>
            <w:pPr>
              <w:pStyle w:val="Compact"/>
              <w:jc w:val="left"/>
            </w:pPr>
            <w:r>
              <w:t xml:space="preserve">3.6 (2.1, 12)</w:t>
            </w:r>
          </w:p>
        </w:tc>
      </w:tr>
      <w:tr>
        <w:tc>
          <w:p/>
        </w:tc>
        <w:tc>
          <w:p>
            <w:pPr>
              <w:pStyle w:val="Compact"/>
              <w:jc w:val="left"/>
            </w:pPr>
            <w:r>
              <w:t xml:space="preserve">Secchi (m)</w:t>
            </w:r>
          </w:p>
        </w:tc>
        <w:tc>
          <w:p>
            <w:pPr>
              <w:pStyle w:val="Compact"/>
              <w:jc w:val="left"/>
            </w:pPr>
            <w:r>
              <w:t xml:space="preserve">14.26*</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left"/>
            </w:pPr>
            <w:r>
              <w:t xml:space="preserve">2.7 (1.5, 5.1)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left"/>
            </w:pPr>
            <w:r>
              <w:t xml:space="preserve">2.2 (0.2, 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2.2 (1.2, 3.2)</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left"/>
            </w:pPr>
            <w:r>
              <w:t xml:space="preserve">2.2 (1.4, 3.9)</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left"/>
            </w:pPr>
            <w:r>
              <w:t xml:space="preserve">2 (2, 3.6)</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left"/>
            </w:pPr>
            <w:r>
              <w:t xml:space="preserve">2.2 (1.5, 3)</w:t>
            </w:r>
          </w:p>
        </w:tc>
      </w:tr>
    </w:tbl>
    <w:p/>
    <w:p>
      <w:pPr>
        <w:pStyle w:val="TableCaption"/>
      </w:pPr>
      <w:r>
        <w:t xml:space="preserve">Table 4: Comparison of macroalgae frequency occurrence by areas of interest (Figure</w:t>
      </w:r>
      <w:r>
        <w:t xml:space="preserve"> </w:t>
      </w:r>
      <w:r>
        <w:t xml:space="preserve">1</w:t>
      </w:r>
      <w:r>
        <w:t xml:space="preserve">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4: Comparison of macroalgae frequency occurrence by areas of interest (Figure 1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Macroalgae group</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Red</w:t>
            </w:r>
          </w:p>
        </w:tc>
        <w:tc>
          <w:p>
            <w:pPr>
              <w:pStyle w:val="Compact"/>
              <w:jc w:val="left"/>
            </w:pPr>
            <w:r>
              <w:t xml:space="preserve">23.48**</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1 (0,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24</w:t>
            </w:r>
          </w:p>
        </w:tc>
        <w:tc>
          <w:p>
            <w:pPr>
              <w:pStyle w:val="Compact"/>
              <w:jc w:val="left"/>
            </w:pPr>
            <w:r>
              <w:t xml:space="preserve">0.708 (0, 1)</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23</w:t>
            </w:r>
          </w:p>
        </w:tc>
        <w:tc>
          <w:p>
            <w:pPr>
              <w:pStyle w:val="Compact"/>
              <w:jc w:val="left"/>
            </w:pPr>
            <w:r>
              <w:t xml:space="preserve">0.389 (0, 1)</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14</w:t>
            </w:r>
          </w:p>
        </w:tc>
        <w:tc>
          <w:p>
            <w:pPr>
              <w:pStyle w:val="Compact"/>
              <w:jc w:val="left"/>
            </w:pPr>
            <w:r>
              <w:t xml:space="preserve">0.321 (0, 0.882)</w:t>
            </w:r>
          </w:p>
        </w:tc>
      </w:tr>
      <w:tr>
        <w:tc>
          <w:p/>
        </w:tc>
        <w:tc>
          <w:p/>
        </w:tc>
        <w:tc>
          <w:p/>
        </w:tc>
        <w:tc>
          <w:p>
            <w:pPr>
              <w:pStyle w:val="Compact"/>
              <w:jc w:val="left"/>
            </w:pPr>
            <w:r>
              <w:t xml:space="preserve">b</w:t>
            </w:r>
          </w:p>
        </w:tc>
        <w:tc>
          <w:p>
            <w:pPr>
              <w:pStyle w:val="Compact"/>
              <w:jc w:val="left"/>
            </w:pPr>
            <w:r>
              <w:t xml:space="preserve">Aug</w:t>
            </w:r>
          </w:p>
        </w:tc>
        <w:tc>
          <w:p>
            <w:pPr>
              <w:pStyle w:val="Compact"/>
              <w:jc w:val="right"/>
            </w:pPr>
            <w:r>
              <w:t xml:space="preserve">22</w:t>
            </w:r>
          </w:p>
        </w:tc>
        <w:tc>
          <w:p>
            <w:pPr>
              <w:pStyle w:val="Compact"/>
              <w:jc w:val="left"/>
            </w:pPr>
            <w:r>
              <w:t xml:space="preserve">0.571 (0, 1)</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20</w:t>
            </w:r>
          </w:p>
        </w:tc>
        <w:tc>
          <w:p>
            <w:pPr>
              <w:pStyle w:val="Compact"/>
              <w:jc w:val="left"/>
            </w:pPr>
            <w:r>
              <w:t xml:space="preserve">0.732 (0, 1)</w:t>
            </w:r>
          </w:p>
        </w:tc>
      </w:tr>
      <w:tr>
        <w:tc>
          <w:p/>
        </w:tc>
        <w:tc>
          <w:p>
            <w:pPr>
              <w:pStyle w:val="Compact"/>
              <w:jc w:val="left"/>
            </w:pPr>
            <w:r>
              <w:t xml:space="preserve">Green</w:t>
            </w:r>
          </w:p>
        </w:tc>
        <w:tc>
          <w:p>
            <w:pPr>
              <w:pStyle w:val="Compact"/>
              <w:jc w:val="left"/>
            </w:pPr>
            <w:r>
              <w:t xml:space="preserve">4.69</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0.75)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 (0, 0.429)</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 (0, 0.167)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0.833)</w:t>
            </w:r>
          </w:p>
        </w:tc>
      </w:tr>
      <w:tr>
        <w:tc>
          <w:p/>
        </w:tc>
        <w:tc>
          <w:p>
            <w:pPr>
              <w:pStyle w:val="Compact"/>
              <w:jc w:val="left"/>
            </w:pPr>
            <w:r>
              <w:t xml:space="preserve">Cyanobacteria</w:t>
            </w:r>
          </w:p>
        </w:tc>
        <w:tc>
          <w:p>
            <w:pPr>
              <w:pStyle w:val="Compact"/>
              <w:jc w:val="left"/>
            </w:pPr>
            <w:r>
              <w:t xml:space="preserve">53.5**</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 (0, 1)</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23</w:t>
            </w:r>
          </w:p>
        </w:tc>
        <w:tc>
          <w:p>
            <w:pPr>
              <w:pStyle w:val="Compact"/>
              <w:jc w:val="left"/>
            </w:pPr>
            <w:r>
              <w:t xml:space="preserve">0.333 (0, 1)</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14</w:t>
            </w:r>
          </w:p>
        </w:tc>
        <w:tc>
          <w:p>
            <w:pPr>
              <w:pStyle w:val="Compact"/>
              <w:jc w:val="left"/>
            </w:pPr>
            <w:r>
              <w:t xml:space="preserve">0 (0, 0.417)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0.167)</w:t>
            </w:r>
          </w:p>
        </w:tc>
      </w:tr>
      <w:tr>
        <w:tc>
          <w:p>
            <w:pPr>
              <w:pStyle w:val="Compact"/>
              <w:jc w:val="left"/>
            </w:pPr>
            <w:r>
              <w:t xml:space="preserve">3</w:t>
            </w:r>
          </w:p>
        </w:tc>
        <w:tc>
          <w:p>
            <w:pPr>
              <w:pStyle w:val="Compact"/>
              <w:jc w:val="left"/>
            </w:pPr>
            <w:r>
              <w:t xml:space="preserve">Red</w:t>
            </w:r>
          </w:p>
        </w:tc>
        <w:tc>
          <w:p>
            <w:pPr>
              <w:pStyle w:val="Compact"/>
              <w:jc w:val="left"/>
            </w:pPr>
            <w:r>
              <w:t xml:space="preserve">27.57**</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0.917 (0.917,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12</w:t>
            </w:r>
          </w:p>
        </w:tc>
        <w:tc>
          <w:p>
            <w:pPr>
              <w:pStyle w:val="Compact"/>
              <w:jc w:val="left"/>
            </w:pPr>
            <w:r>
              <w:t xml:space="preserve">0.917 (0.25, 1)</w:t>
            </w:r>
          </w:p>
        </w:tc>
      </w:tr>
      <w:tr>
        <w:tc>
          <w:p/>
        </w:tc>
        <w:tc>
          <w:p/>
        </w:tc>
        <w:tc>
          <w:p/>
        </w:tc>
        <w:tc>
          <w:p>
            <w:pPr>
              <w:pStyle w:val="Compact"/>
              <w:jc w:val="left"/>
            </w:pPr>
            <w:r>
              <w:t xml:space="preserve">c</w:t>
            </w:r>
          </w:p>
        </w:tc>
        <w:tc>
          <w:p>
            <w:pPr>
              <w:pStyle w:val="Compact"/>
              <w:jc w:val="left"/>
            </w:pPr>
            <w:r>
              <w:t xml:space="preserve">Jun</w:t>
            </w:r>
          </w:p>
        </w:tc>
        <w:tc>
          <w:p>
            <w:pPr>
              <w:pStyle w:val="Compact"/>
              <w:jc w:val="right"/>
            </w:pPr>
            <w:r>
              <w:t xml:space="preserve">12</w:t>
            </w:r>
          </w:p>
        </w:tc>
        <w:tc>
          <w:p>
            <w:pPr>
              <w:pStyle w:val="Compact"/>
              <w:jc w:val="left"/>
            </w:pPr>
            <w:r>
              <w:t xml:space="preserve">0.167 (0, 0.75)</w:t>
            </w:r>
          </w:p>
        </w:tc>
      </w:tr>
      <w:tr>
        <w:tc>
          <w:p/>
        </w:tc>
        <w:tc>
          <w:p/>
        </w:tc>
        <w:tc>
          <w:p/>
        </w:tc>
        <w:tc>
          <w:p>
            <w:pPr>
              <w:pStyle w:val="Compact"/>
              <w:jc w:val="left"/>
            </w:pPr>
            <w:r>
              <w:t xml:space="preserve">abc</w:t>
            </w:r>
          </w:p>
        </w:tc>
        <w:tc>
          <w:p>
            <w:pPr>
              <w:pStyle w:val="Compact"/>
              <w:jc w:val="left"/>
            </w:pPr>
            <w:r>
              <w:t xml:space="preserve">Jul</w:t>
            </w:r>
          </w:p>
        </w:tc>
        <w:tc>
          <w:p>
            <w:pPr>
              <w:pStyle w:val="Compact"/>
              <w:jc w:val="right"/>
            </w:pPr>
            <w:r>
              <w:t xml:space="preserve">4</w:t>
            </w:r>
          </w:p>
        </w:tc>
        <w:tc>
          <w:p>
            <w:pPr>
              <w:pStyle w:val="Compact"/>
              <w:jc w:val="left"/>
            </w:pPr>
            <w:r>
              <w:t xml:space="preserve">0.333 (0, 0.833)</w:t>
            </w:r>
          </w:p>
        </w:tc>
      </w:tr>
      <w:tr>
        <w:tc>
          <w:p/>
        </w:tc>
        <w:tc>
          <w:p/>
        </w:tc>
        <w:tc>
          <w:p/>
        </w:tc>
        <w:tc>
          <w:p>
            <w:pPr>
              <w:pStyle w:val="Compact"/>
              <w:jc w:val="left"/>
            </w:pPr>
            <w:r>
              <w:t xml:space="preserve">bc</w:t>
            </w:r>
          </w:p>
        </w:tc>
        <w:tc>
          <w:p>
            <w:pPr>
              <w:pStyle w:val="Compact"/>
              <w:jc w:val="left"/>
            </w:pPr>
            <w:r>
              <w:t xml:space="preserve">Aug</w:t>
            </w:r>
          </w:p>
        </w:tc>
        <w:tc>
          <w:p>
            <w:pPr>
              <w:pStyle w:val="Compact"/>
              <w:jc w:val="right"/>
            </w:pPr>
            <w:r>
              <w:t xml:space="preserve">6</w:t>
            </w:r>
          </w:p>
        </w:tc>
        <w:tc>
          <w:p>
            <w:pPr>
              <w:pStyle w:val="Compact"/>
              <w:jc w:val="left"/>
            </w:pPr>
            <w:r>
              <w:t xml:space="preserve">0.083 (0, 0.833)</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5</w:t>
            </w:r>
          </w:p>
        </w:tc>
        <w:tc>
          <w:p>
            <w:pPr>
              <w:pStyle w:val="Compact"/>
              <w:jc w:val="left"/>
            </w:pPr>
            <w:r>
              <w:t xml:space="preserve">0.167 (0, 0.5)</w:t>
            </w:r>
          </w:p>
        </w:tc>
      </w:tr>
      <w:tr>
        <w:tc>
          <w:p/>
        </w:tc>
        <w:tc>
          <w:p>
            <w:pPr>
              <w:pStyle w:val="Compact"/>
              <w:jc w:val="left"/>
            </w:pPr>
            <w:r>
              <w:t xml:space="preserve">Green</w:t>
            </w:r>
          </w:p>
        </w:tc>
        <w:tc>
          <w:p>
            <w:pPr>
              <w:pStyle w:val="Compact"/>
              <w:jc w:val="left"/>
            </w:pPr>
            <w:r>
              <w:t xml:space="preserve">5.42</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 (0, 1)</w:t>
            </w:r>
          </w:p>
        </w:tc>
      </w:tr>
      <w:tr>
        <w:tc>
          <w:p/>
        </w:tc>
        <w:tc>
          <w:p>
            <w:pPr>
              <w:pStyle w:val="Compact"/>
              <w:jc w:val="left"/>
            </w:pPr>
            <w:r>
              <w:t xml:space="preserve">Cyanobacteria</w:t>
            </w:r>
          </w:p>
        </w:tc>
        <w:tc>
          <w:p>
            <w:pPr>
              <w:pStyle w:val="Compact"/>
              <w:jc w:val="left"/>
            </w:pPr>
            <w:r>
              <w:t xml:space="preserve">14.33*</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0.083)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0.292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 (0, 0)</w:t>
            </w:r>
          </w:p>
        </w:tc>
      </w:tr>
    </w:tbl>
    <w:p/>
    <w:p>
      <w:pPr>
        <w:pStyle w:val="TableCaption"/>
      </w:pPr>
      <w:r>
        <w:t xml:space="preserve">Table 5: Comparison of seagrass species frequency occurrence by areas of interest (Figure</w:t>
      </w:r>
      <w:r>
        <w:t xml:space="preserve"> </w:t>
      </w:r>
      <w:r>
        <w:t xml:space="preserve">1</w:t>
      </w:r>
      <w:r>
        <w:t xml:space="preserve">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5: Comparison of seagrass species frequency occurrence by areas of interest (Figure 1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Seagrass species</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Thalassia testudinum</w:t>
            </w:r>
          </w:p>
        </w:tc>
        <w:tc>
          <w:p>
            <w:pPr>
              <w:pStyle w:val="Compact"/>
              <w:jc w:val="left"/>
            </w:pPr>
            <w:r>
              <w:t xml:space="preserve">1.4</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0.444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0.444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0.389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0.458 (0, 1)</w:t>
            </w:r>
          </w:p>
        </w:tc>
      </w:tr>
      <w:tr>
        <w:tc>
          <w:p/>
        </w:tc>
        <w:tc>
          <w:p>
            <w:pPr>
              <w:pStyle w:val="Compact"/>
              <w:jc w:val="left"/>
            </w:pPr>
            <w:r>
              <w:t xml:space="preserve">Halodule wrightii</w:t>
            </w:r>
          </w:p>
        </w:tc>
        <w:tc>
          <w:p>
            <w:pPr>
              <w:pStyle w:val="Compact"/>
              <w:jc w:val="left"/>
            </w:pPr>
            <w:r>
              <w:t xml:space="preserve">1</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0.167 (0, 1)</w:t>
            </w:r>
          </w:p>
        </w:tc>
      </w:tr>
      <w:tr>
        <w:tc>
          <w:p/>
        </w:tc>
        <w:tc>
          <w:p>
            <w:pPr>
              <w:pStyle w:val="Compact"/>
              <w:jc w:val="left"/>
            </w:pPr>
            <w:r>
              <w:t xml:space="preserve">Syringodium filiforme</w:t>
            </w:r>
          </w:p>
        </w:tc>
        <w:tc>
          <w:p>
            <w:pPr>
              <w:pStyle w:val="Compact"/>
              <w:jc w:val="left"/>
            </w:pPr>
            <w:r>
              <w:t xml:space="preserve">0.39</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1)</w:t>
            </w:r>
          </w:p>
        </w:tc>
      </w:tr>
      <w:tr>
        <w:tc>
          <w:p>
            <w:pPr>
              <w:pStyle w:val="Compact"/>
              <w:jc w:val="left"/>
            </w:pPr>
            <w:r>
              <w:t xml:space="preserve">3</w:t>
            </w:r>
          </w:p>
        </w:tc>
        <w:tc>
          <w:p>
            <w:pPr>
              <w:pStyle w:val="Compact"/>
              <w:jc w:val="left"/>
            </w:pPr>
            <w:r>
              <w:t xml:space="preserve">Thalassia testudinum</w:t>
            </w:r>
          </w:p>
        </w:tc>
        <w:tc>
          <w:p>
            <w:pPr>
              <w:pStyle w:val="Compact"/>
              <w:jc w:val="left"/>
            </w:pPr>
            <w:r>
              <w:t xml:space="preserve">3.56</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1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0.875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0.875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0.583 (0.333,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0.333 (0, 1)</w:t>
            </w:r>
          </w:p>
        </w:tc>
      </w:tr>
      <w:tr>
        <w:tc>
          <w:p/>
        </w:tc>
        <w:tc>
          <w:p>
            <w:pPr>
              <w:pStyle w:val="Compact"/>
              <w:jc w:val="left"/>
            </w:pPr>
            <w:r>
              <w:t xml:space="preserve">Halodule wrightii</w:t>
            </w:r>
          </w:p>
        </w:tc>
        <w:tc>
          <w:p>
            <w:pPr>
              <w:pStyle w:val="Compact"/>
              <w:jc w:val="left"/>
            </w:pPr>
            <w:r>
              <w:t xml:space="preserve">2.82</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0.292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0.333 (0, 0.75)</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0.5 (0, 1)</w:t>
            </w:r>
          </w:p>
        </w:tc>
      </w:tr>
      <w:tr>
        <w:tc>
          <w:p/>
        </w:tc>
        <w:tc>
          <w:p>
            <w:pPr>
              <w:pStyle w:val="Compact"/>
              <w:jc w:val="left"/>
            </w:pPr>
            <w:r>
              <w:t xml:space="preserve">Syringodium filiforme</w:t>
            </w:r>
          </w:p>
        </w:tc>
        <w:tc>
          <w:p>
            <w:pPr>
              <w:pStyle w:val="Compact"/>
              <w:jc w:val="left"/>
            </w:pPr>
            <w:r>
              <w:t xml:space="preserve">1.75</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0.833)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0.227 (0, 0.75)</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0.208 (0, 0.917)</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0.333 (0, 1)</w:t>
            </w:r>
          </w:p>
        </w:tc>
      </w:tr>
    </w:tbl>
    <w:bookmarkEnd w:id="80"/>
    <w:bookmarkStart w:id="171" w:name="references"/>
    <w:p>
      <w:pPr>
        <w:pStyle w:val="Heading1"/>
      </w:pPr>
      <w:r>
        <w:t xml:space="preserve">References</w:t>
      </w:r>
    </w:p>
    <w:bookmarkStart w:id="170" w:name="refs"/>
    <w:bookmarkStart w:id="82" w:name="ref-Bates76"/>
    <w:p>
      <w:pPr>
        <w:pStyle w:val="Bibliography"/>
      </w:pPr>
      <w:r>
        <w:t xml:space="preserve">Bates, S.S., 1976. Effects of light and ammonium on nitrate uptake by two species of estuarine phytoplankton. Limnology and oceanography 21, 212–218. https://doi.org/</w:t>
      </w:r>
      <w:hyperlink r:id="rId81">
        <w:r>
          <w:rPr>
            <w:rStyle w:val="Hyperlink"/>
          </w:rPr>
          <w:t xml:space="preserve">https://doi.org/10.4319/lo.1976.21.2.0212</w:t>
        </w:r>
      </w:hyperlink>
    </w:p>
    <w:bookmarkEnd w:id="82"/>
    <w:bookmarkStart w:id="84"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3">
        <w:r>
          <w:rPr>
            <w:rStyle w:val="Hyperlink"/>
          </w:rPr>
          <w:t xml:space="preserve">https://doi.org/10.18785/gcr.2901.02</w:t>
        </w:r>
      </w:hyperlink>
    </w:p>
    <w:bookmarkEnd w:id="84"/>
    <w:bookmarkStart w:id="86"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5">
        <w:r>
          <w:rPr>
            <w:rStyle w:val="Hyperlink"/>
          </w:rPr>
          <w:t xml:space="preserve">https://doi.org/10.1007/s12237-017-0287-1</w:t>
        </w:r>
      </w:hyperlink>
    </w:p>
    <w:bookmarkEnd w:id="86"/>
    <w:bookmarkStart w:id="87" w:name="ref-Beck21"/>
    <w:p>
      <w:pPr>
        <w:pStyle w:val="Bibliography"/>
      </w:pPr>
      <w:r>
        <w:t xml:space="preserve">Beck, M.W., Schrandt, M., Wessel, M., Sherwood, E., Raulerson, G., Best, B., 2021. Tbeptools: Data and indicators for the tampa bay estuary program.</w:t>
      </w:r>
    </w:p>
    <w:bookmarkEnd w:id="87"/>
    <w:bookmarkStart w:id="88" w:name="ref-Bryan20"/>
    <w:p>
      <w:pPr>
        <w:pStyle w:val="Bibliography"/>
      </w:pPr>
      <w:r>
        <w:t xml:space="preserve">Bryan, J., 2020. googlesheets4: Access google sheets using the sheets API V4.</w:t>
      </w:r>
    </w:p>
    <w:bookmarkEnd w:id="88"/>
    <w:bookmarkStart w:id="89" w:name="ref-Burke17"/>
    <w:p>
      <w:pPr>
        <w:pStyle w:val="Bibliography"/>
      </w:pPr>
      <w:r>
        <w:t xml:space="preserve">Burke, M., 2017.</w:t>
      </w:r>
      <w:r>
        <w:t xml:space="preserve"> </w:t>
      </w:r>
      <w:r>
        <w:t xml:space="preserve">CCMP Climate Change Vulnerability Assessment</w:t>
      </w:r>
      <w:r>
        <w:t xml:space="preserve"> </w:t>
      </w:r>
      <w:r>
        <w:t xml:space="preserve">(No. 10b-17). Tampa Bay Estuary Program, St. Petersburg, Florida.</w:t>
      </w:r>
    </w:p>
    <w:bookmarkEnd w:id="89"/>
    <w:bookmarkStart w:id="91"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0">
        <w:r>
          <w:rPr>
            <w:rStyle w:val="Hyperlink"/>
          </w:rPr>
          <w:t xml:space="preserve">https://doi.org/10.1016/S0265-931X(00)00164-8</w:t>
        </w:r>
      </w:hyperlink>
    </w:p>
    <w:bookmarkEnd w:id="91"/>
    <w:bookmarkStart w:id="93"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 https://doi.org/</w:t>
      </w:r>
      <w:hyperlink r:id="rId92">
        <w:r>
          <w:rPr>
            <w:rStyle w:val="Hyperlink"/>
          </w:rPr>
          <w:t xml:space="preserve">https://doi.org/10.1007/s12237-013-9701-5</w:t>
        </w:r>
      </w:hyperlink>
    </w:p>
    <w:bookmarkEnd w:id="93"/>
    <w:bookmarkStart w:id="95" w:name="ref-Chen19"/>
    <w:p>
      <w:pPr>
        <w:pStyle w:val="Bibliography"/>
      </w:pPr>
      <w:r>
        <w:t xml:space="preserve">Chen, J., Weisberg, R.H., Liu, Y., Zheng, L., Zhu, J., 2019. On the momentum balance of tampa bay. Journal of Geophysical Research: Oceans 124, 4492–4510. https://doi.org/</w:t>
      </w:r>
      <w:hyperlink r:id="rId94">
        <w:r>
          <w:rPr>
            <w:rStyle w:val="Hyperlink"/>
          </w:rPr>
          <w:t xml:space="preserve">https://doi.org/10.1029/2018JC014890</w:t>
        </w:r>
      </w:hyperlink>
    </w:p>
    <w:bookmarkEnd w:id="95"/>
    <w:bookmarkStart w:id="97" w:name="ref-Cohen06"/>
    <w:p>
      <w:pPr>
        <w:pStyle w:val="Bibliography"/>
      </w:pPr>
      <w:r>
        <w:t xml:space="preserve">Cohen, R.A., Fong, P., 2006. Using opportunistic green macroalgae as indicators of nitrogen supply and sources to estuaries. Ecological Applications 16, 1405–1420. https://doi.org/</w:t>
      </w:r>
      <w:hyperlink r:id="rId96">
        <w:r>
          <w:rPr>
            <w:rStyle w:val="Hyperlink"/>
          </w:rPr>
          <w:t xml:space="preserve">https://doi.org/10.1890/1051-0761(2006)016[1405:UOGMAI]2.0.CO;2</w:t>
        </w:r>
      </w:hyperlink>
    </w:p>
    <w:bookmarkEnd w:id="97"/>
    <w:bookmarkStart w:id="98" w:name="ref-DAgostino20"/>
    <w:p>
      <w:pPr>
        <w:pStyle w:val="Bibliography"/>
      </w:pPr>
      <w:r>
        <w:t xml:space="preserve">D’Agostino McGowan, L., Bryan, J., 2020. Googledrive: An interface to google drive.</w:t>
      </w:r>
    </w:p>
    <w:bookmarkEnd w:id="98"/>
    <w:bookmarkStart w:id="99"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9"/>
    <w:bookmarkStart w:id="100"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0"/>
    <w:bookmarkStart w:id="102"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1">
        <w:r>
          <w:rPr>
            <w:rStyle w:val="Hyperlink"/>
          </w:rPr>
          <w:t xml:space="preserve">https://www.jstor.org/stable/24322132</w:t>
        </w:r>
      </w:hyperlink>
    </w:p>
    <w:bookmarkEnd w:id="102"/>
    <w:bookmarkStart w:id="104"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 https://doi.org/</w:t>
      </w:r>
      <w:hyperlink r:id="rId103">
        <w:r>
          <w:rPr>
            <w:rStyle w:val="Hyperlink"/>
          </w:rPr>
          <w:t xml:space="preserve">https://doi.org/10.1007/s00027-011-0180-0</w:t>
        </w:r>
      </w:hyperlink>
    </w:p>
    <w:bookmarkEnd w:id="104"/>
    <w:bookmarkStart w:id="106"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5">
        <w:r>
          <w:rPr>
            <w:rStyle w:val="Hyperlink"/>
          </w:rPr>
          <w:t xml:space="preserve">https://doi.org/10.1016/j.marpolbul.2015.10.047</w:t>
        </w:r>
      </w:hyperlink>
    </w:p>
    <w:bookmarkEnd w:id="106"/>
    <w:bookmarkStart w:id="108"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7">
        <w:r>
          <w:rPr>
            <w:rStyle w:val="Hyperlink"/>
          </w:rPr>
          <w:t xml:space="preserve">https://doi.org/10.1007/s12237-010-9350-x</w:t>
        </w:r>
      </w:hyperlink>
    </w:p>
    <w:bookmarkEnd w:id="108"/>
    <w:bookmarkStart w:id="110"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09">
        <w:r>
          <w:rPr>
            <w:rStyle w:val="Hyperlink"/>
          </w:rPr>
          <w:t xml:space="preserve">https://doi.org/10.1016/j.marpolbul.2010.11.017</w:t>
        </w:r>
      </w:hyperlink>
    </w:p>
    <w:bookmarkEnd w:id="110"/>
    <w:bookmarkStart w:id="112"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 https://doi.org/</w:t>
      </w:r>
      <w:hyperlink r:id="rId111">
        <w:r>
          <w:rPr>
            <w:rStyle w:val="Hyperlink"/>
          </w:rPr>
          <w:t xml:space="preserve">https://doi.org/10.3389/fmars.2021.605858</w:t>
        </w:r>
      </w:hyperlink>
    </w:p>
    <w:bookmarkEnd w:id="112"/>
    <w:bookmarkStart w:id="114"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3">
        <w:r>
          <w:rPr>
            <w:rStyle w:val="Hyperlink"/>
          </w:rPr>
          <w:t xml:space="preserve">https://doi.org/10.1007/s00267-005-0079-4</w:t>
        </w:r>
      </w:hyperlink>
    </w:p>
    <w:bookmarkEnd w:id="114"/>
    <w:bookmarkStart w:id="115"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5"/>
    <w:bookmarkStart w:id="117"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6">
        <w:r>
          <w:rPr>
            <w:rStyle w:val="Hyperlink"/>
          </w:rPr>
          <w:t xml:space="preserve">https://doi.org/10.1016/j.ecss.2014.10.003</w:t>
        </w:r>
      </w:hyperlink>
    </w:p>
    <w:bookmarkEnd w:id="117"/>
    <w:bookmarkStart w:id="118" w:name="ref-Helsel05"/>
    <w:p>
      <w:pPr>
        <w:pStyle w:val="Bibliography"/>
      </w:pPr>
      <w:r>
        <w:t xml:space="preserve">Helsel, D.R., 2005. Nondectects and data analysis: Statistics for censored environmental data. John Wiley &amp; Sons, New Jersey, USA.</w:t>
      </w:r>
    </w:p>
    <w:bookmarkEnd w:id="118"/>
    <w:bookmarkStart w:id="119"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19"/>
    <w:bookmarkStart w:id="120" w:name="ref-Hollander13"/>
    <w:p>
      <w:pPr>
        <w:pStyle w:val="Bibliography"/>
      </w:pPr>
      <w:r>
        <w:t xml:space="preserve">Hollander, M., Wolfe, D.A., Chicken, E., 2013. Nonparametric statistical methods. John Wiley &amp; Sons.</w:t>
      </w:r>
    </w:p>
    <w:bookmarkEnd w:id="120"/>
    <w:bookmarkStart w:id="121" w:name="ref-Holm79"/>
    <w:p>
      <w:pPr>
        <w:pStyle w:val="Bibliography"/>
      </w:pPr>
      <w:r>
        <w:t xml:space="preserve">Holm, S., 1979. A simple sequentially rejective multiple test procedure. Scandinavian journal of statistics 65–70.</w:t>
      </w:r>
    </w:p>
    <w:bookmarkEnd w:id="121"/>
    <w:bookmarkStart w:id="123" w:name="ref-Howarth06"/>
    <w:p>
      <w:pPr>
        <w:pStyle w:val="Bibliography"/>
      </w:pPr>
      <w:r>
        <w:t xml:space="preserve">Howarth, R.W., Marino, R., 2006. Nitrogen as the limiting nutrient for eutrophication in coastal marine ecosystems: Evolving views over three decades. Limnology and oceanography 51, 364–376. https://doi.org/</w:t>
      </w:r>
      <w:hyperlink r:id="rId122">
        <w:r>
          <w:rPr>
            <w:rStyle w:val="Hyperlink"/>
          </w:rPr>
          <w:t xml:space="preserve">https://doi.org/10.4319/lo.2006.51.1_part_2.0364</w:t>
        </w:r>
      </w:hyperlink>
    </w:p>
    <w:bookmarkEnd w:id="123"/>
    <w:bookmarkStart w:id="124" w:name="ref-Hu03"/>
    <w:p>
      <w:pPr>
        <w:pStyle w:val="Bibliography"/>
      </w:pPr>
      <w:r>
        <w:t xml:space="preserve">Hu, C., Muller-Karger, F.E., 2003. Satellite monitoring of the</w:t>
      </w:r>
      <w:r>
        <w:t xml:space="preserve"> </w:t>
      </w:r>
      <w:r>
        <w:t xml:space="preserve">FDEP</w:t>
      </w:r>
      <w:r>
        <w:t xml:space="preserve"> </w:t>
      </w:r>
      <w:r>
        <w:t xml:space="preserve">G</w:t>
      </w:r>
      <w:r>
        <w:t xml:space="preserve">ulf dispersal of the</w:t>
      </w:r>
      <w:r>
        <w:t xml:space="preserve"> </w:t>
      </w:r>
      <w:r>
        <w:t xml:space="preserve">P</w:t>
      </w:r>
      <w:r>
        <w:t xml:space="preserve">iney</w:t>
      </w:r>
      <w:r>
        <w:t xml:space="preserve"> </w:t>
      </w:r>
      <w:r>
        <w:t xml:space="preserve">P</w:t>
      </w:r>
      <w:r>
        <w:t xml:space="preserve">oint treated wastewater. University of South Florida, Institute for Marine Remote Sensing, St. Petersburg, Florida.</w:t>
      </w:r>
    </w:p>
    <w:bookmarkEnd w:id="124"/>
    <w:bookmarkStart w:id="126" w:name="ref-Hudson11"/>
    <w:p>
      <w:pPr>
        <w:pStyle w:val="Bibliography"/>
      </w:pPr>
      <w:r>
        <w:t xml:space="preserve">Hudson-Edwards, K.A., Jamieson, H.E., Lottermoser, B.G., 2011. Mine wastes: Past, present, future. Elements 7, 375–380.</w:t>
      </w:r>
      <w:r>
        <w:t xml:space="preserve"> </w:t>
      </w:r>
      <w:hyperlink r:id="rId125">
        <w:r>
          <w:rPr>
            <w:rStyle w:val="Hyperlink"/>
          </w:rPr>
          <w:t xml:space="preserve">https://doi.org/10.2113/gselements.7.6.375</w:t>
        </w:r>
      </w:hyperlink>
    </w:p>
    <w:bookmarkEnd w:id="126"/>
    <w:bookmarkStart w:id="127"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7"/>
    <w:bookmarkStart w:id="128" w:name="ref-Janicki17"/>
    <w:p>
      <w:pPr>
        <w:pStyle w:val="Bibliography"/>
      </w:pPr>
      <w:r>
        <w:t xml:space="preserve">Janicki Environmental, Inc., 2017a.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8"/>
    <w:bookmarkStart w:id="129" w:name="ref-tbep0417"/>
    <w:p>
      <w:pPr>
        <w:pStyle w:val="Bibliography"/>
      </w:pPr>
      <w:r>
        <w:t xml:space="preserve">Janicki Environmental, Inc., 2017b.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9"/>
    <w:bookmarkStart w:id="130" w:name="ref-Janicki08"/>
    <w:p>
      <w:pPr>
        <w:pStyle w:val="Bibliography"/>
      </w:pPr>
      <w:r>
        <w:t xml:space="preserve">Janicki Environmental, Inc., 2008. Estimation of nitrogen loading from residential irrigation. Tampa Bay Estuary Program, St. Petersburg, Florida.</w:t>
      </w:r>
    </w:p>
    <w:bookmarkEnd w:id="130"/>
    <w:bookmarkStart w:id="131"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1"/>
    <w:bookmarkStart w:id="132"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2"/>
    <w:bookmarkStart w:id="133" w:name="ref-Lee20"/>
    <w:p>
      <w:pPr>
        <w:pStyle w:val="Bibliography"/>
      </w:pPr>
      <w:r>
        <w:t xml:space="preserve">Lee, L., 2020. NADA: Nondetects and data analysis for environmental data.</w:t>
      </w:r>
    </w:p>
    <w:bookmarkEnd w:id="133"/>
    <w:bookmarkStart w:id="135"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 https://doi.org/</w:t>
      </w:r>
      <w:hyperlink r:id="rId134">
        <w:r>
          <w:rPr>
            <w:rStyle w:val="Hyperlink"/>
          </w:rPr>
          <w:t xml:space="preserve">https://doi.org/10.1016/j.ocecoaman.2005.07.002</w:t>
        </w:r>
      </w:hyperlink>
    </w:p>
    <w:bookmarkEnd w:id="135"/>
    <w:bookmarkStart w:id="137"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36">
        <w:r>
          <w:rPr>
            <w:rStyle w:val="Hyperlink"/>
          </w:rPr>
          <w:t xml:space="preserve">https://doi.org/10.1016/j.envsoft.2019.03.027</w:t>
        </w:r>
      </w:hyperlink>
    </w:p>
    <w:bookmarkEnd w:id="137"/>
    <w:bookmarkStart w:id="139" w:name="ref-Nixon95"/>
    <w:p>
      <w:pPr>
        <w:pStyle w:val="Bibliography"/>
      </w:pPr>
      <w:r>
        <w:t xml:space="preserve">Nixon, S.W., 1995. Coastal marine eutrophication: A definition, social causes, and future concerns. Ophelia 41, 199–219.</w:t>
      </w:r>
      <w:r>
        <w:t xml:space="preserve"> </w:t>
      </w:r>
      <w:hyperlink r:id="rId138">
        <w:r>
          <w:rPr>
            <w:rStyle w:val="Hyperlink"/>
          </w:rPr>
          <w:t xml:space="preserve">https://doi.org/10.1080/00785236.1995.10422044</w:t>
        </w:r>
      </w:hyperlink>
    </w:p>
    <w:bookmarkEnd w:id="139"/>
    <w:bookmarkStart w:id="140"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0"/>
    <w:bookmarkStart w:id="142"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1">
        <w:r>
          <w:rPr>
            <w:rStyle w:val="Hyperlink"/>
          </w:rPr>
          <w:t xml:space="preserve">https://doi.org/10.32614/RJ-2018-009</w:t>
        </w:r>
      </w:hyperlink>
    </w:p>
    <w:bookmarkEnd w:id="142"/>
    <w:bookmarkStart w:id="144"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3">
        <w:r>
          <w:rPr>
            <w:rStyle w:val="Hyperlink"/>
          </w:rPr>
          <w:t xml:space="preserve">https://doi.org/10.1016/j.scitotenv.2016.02.070</w:t>
        </w:r>
      </w:hyperlink>
    </w:p>
    <w:bookmarkEnd w:id="144"/>
    <w:bookmarkStart w:id="146"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5">
        <w:r>
          <w:rPr>
            <w:rStyle w:val="Hyperlink"/>
          </w:rPr>
          <w:t xml:space="preserve">https://doi.org/10.1016/j.apgeochem.2010.02.003</w:t>
        </w:r>
      </w:hyperlink>
    </w:p>
    <w:bookmarkEnd w:id="146"/>
    <w:bookmarkStart w:id="148" w:name="ref-Poor13"/>
    <w:p>
      <w:pPr>
        <w:pStyle w:val="Bibliography"/>
      </w:pPr>
      <w:r>
        <w:t xml:space="preserve">Poor, N., Cross, L., Dennis, R., 2013.</w:t>
      </w:r>
      <w:r>
        <w:t xml:space="preserve"> </w:t>
      </w:r>
      <w:r>
        <w:t xml:space="preserve">Lessons learned from the Bay Region Atmospheric Chemistry Experiment (BRACE) and implications for nitrogen management of Tampa Bay</w:t>
      </w:r>
      <w:r>
        <w:t xml:space="preserve">. Atmospheric Environment 70, 75–83.</w:t>
      </w:r>
      <w:r>
        <w:t xml:space="preserve"> </w:t>
      </w:r>
      <w:hyperlink r:id="rId147">
        <w:r>
          <w:rPr>
            <w:rStyle w:val="Hyperlink"/>
          </w:rPr>
          <w:t xml:space="preserve">https://doi.org/10.1016/j.atmosenv.2012.12.030</w:t>
        </w:r>
      </w:hyperlink>
    </w:p>
    <w:bookmarkEnd w:id="148"/>
    <w:bookmarkStart w:id="149" w:name="ref-RCT20"/>
    <w:p>
      <w:pPr>
        <w:pStyle w:val="Bibliography"/>
      </w:pPr>
      <w:r>
        <w:t xml:space="preserve">R Core Team, 2020. R: A language and environment for statistical computing, v4.0.3. R Foundation for Statistical Computing, Vienna, Austria.</w:t>
      </w:r>
    </w:p>
    <w:bookmarkEnd w:id="149"/>
    <w:bookmarkStart w:id="151"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0">
        <w:r>
          <w:rPr>
            <w:rStyle w:val="Hyperlink"/>
          </w:rPr>
          <w:t xml:space="preserve">https://doi.org/10.1007/s11270-013-1742-7</w:t>
        </w:r>
      </w:hyperlink>
    </w:p>
    <w:bookmarkEnd w:id="151"/>
    <w:bookmarkStart w:id="153"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 https://doi.org/</w:t>
      </w:r>
      <w:hyperlink r:id="rId152">
        <w:r>
          <w:rPr>
            <w:rStyle w:val="Hyperlink"/>
          </w:rPr>
          <w:t xml:space="preserve">https://doi.org/10.1016/j.ecolind.2020.107310</w:t>
        </w:r>
      </w:hyperlink>
    </w:p>
    <w:bookmarkEnd w:id="153"/>
    <w:bookmarkStart w:id="155" w:name="ref-Sherwood14"/>
    <w:p>
      <w:pPr>
        <w:pStyle w:val="Bibliography"/>
      </w:pPr>
      <w:r>
        <w:t xml:space="preserve">Sherwood, E., Greening, H., 2014. Potential impacts and management implications of climate change on</w:t>
      </w:r>
      <w:r>
        <w:t xml:space="preserve"> </w:t>
      </w:r>
      <w:r>
        <w:t xml:space="preserve">T</w:t>
      </w:r>
      <w:r>
        <w:t xml:space="preserve">ampa</w:t>
      </w:r>
      <w:r>
        <w:t xml:space="preserve"> </w:t>
      </w:r>
      <w:r>
        <w:t xml:space="preserve">B</w:t>
      </w:r>
      <w:r>
        <w:t xml:space="preserve">ay estuary critical coastal habitats. Environmental Management 53, 401–415.</w:t>
      </w:r>
      <w:r>
        <w:t xml:space="preserve"> </w:t>
      </w:r>
      <w:hyperlink r:id="rId154">
        <w:r>
          <w:rPr>
            <w:rStyle w:val="Hyperlink"/>
          </w:rPr>
          <w:t xml:space="preserve">https://doi.org/10.1007/s00267-013-0179-5</w:t>
        </w:r>
      </w:hyperlink>
    </w:p>
    <w:bookmarkEnd w:id="155"/>
    <w:bookmarkStart w:id="157"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6">
        <w:r>
          <w:rPr>
            <w:rStyle w:val="Hyperlink"/>
          </w:rPr>
          <w:t xml:space="preserve">https://doi.org/10.1353/sgo.2017.0026</w:t>
        </w:r>
      </w:hyperlink>
    </w:p>
    <w:bookmarkEnd w:id="157"/>
    <w:bookmarkStart w:id="158"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58"/>
    <w:bookmarkStart w:id="160"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 https://doi.org/</w:t>
      </w:r>
      <w:hyperlink r:id="rId159">
        <w:r>
          <w:rPr>
            <w:rStyle w:val="Hyperlink"/>
          </w:rPr>
          <w:t xml:space="preserve">https://doi.org/10.1016/j.jembe.2005.11.025</w:t>
        </w:r>
      </w:hyperlink>
    </w:p>
    <w:bookmarkEnd w:id="160"/>
    <w:bookmarkStart w:id="161"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1"/>
    <w:bookmarkStart w:id="163"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2">
        <w:r>
          <w:rPr>
            <w:rStyle w:val="Hyperlink"/>
          </w:rPr>
          <w:t xml:space="preserve">https://doi.org/10.1016/j.jenvman.2009.03.007</w:t>
        </w:r>
      </w:hyperlink>
    </w:p>
    <w:bookmarkEnd w:id="163"/>
    <w:bookmarkStart w:id="165" w:name="ref-Valiela97"/>
    <w:p>
      <w:pPr>
        <w:pStyle w:val="Bibliography"/>
      </w:pPr>
      <w:r>
        <w:t xml:space="preserve">Valiela, I., McClelland, J., Hauxwell, J., Behr, P.J., Hersh, D., Foreman, K., 1997. Macroalgal blooms in shallow estuaries: Controls and ecophysiological and ecosystem consequences. Limnology and oceanography 42, 1105–1118. https://doi.org/</w:t>
      </w:r>
      <w:hyperlink r:id="rId164">
        <w:r>
          <w:rPr>
            <w:rStyle w:val="Hyperlink"/>
          </w:rPr>
          <w:t xml:space="preserve">https://doi.org/10.4319/lo.1997.42.5_part_2.1105</w:t>
        </w:r>
      </w:hyperlink>
    </w:p>
    <w:bookmarkEnd w:id="165"/>
    <w:bookmarkStart w:id="166"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66"/>
    <w:bookmarkStart w:id="168"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67">
        <w:r>
          <w:rPr>
            <w:rStyle w:val="Hyperlink"/>
          </w:rPr>
          <w:t xml:space="preserve">https://doi.org/10.21105/joss.01686</w:t>
        </w:r>
      </w:hyperlink>
    </w:p>
    <w:bookmarkEnd w:id="168"/>
    <w:bookmarkStart w:id="169" w:name="ref-Wood17"/>
    <w:p>
      <w:pPr>
        <w:pStyle w:val="Bibliography"/>
      </w:pPr>
      <w:r>
        <w:t xml:space="preserve">Wood, S.N., 2017. Generalized additive models: An introduction with r, 2nd ed. Chapman; Hall, CRC Press, London, United Kingdom.</w:t>
      </w:r>
    </w:p>
    <w:bookmarkEnd w:id="169"/>
    <w:bookmarkEnd w:id="170"/>
    <w:bookmarkEnd w:id="171"/>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2" Target="media/rId72.jpg" /><Relationship Type="http://schemas.openxmlformats.org/officeDocument/2006/relationships/image" Id="rId73" Target="media/rId73.jpg" /><Relationship Type="http://schemas.openxmlformats.org/officeDocument/2006/relationships/image" Id="rId71" Target="media/rId71.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77" Target="media/rId77.jpg" /><Relationship Type="http://schemas.openxmlformats.org/officeDocument/2006/relationships/image" Id="rId78" Target="media/rId78.jpg" /><Relationship Type="http://schemas.openxmlformats.org/officeDocument/2006/relationships/image" Id="rId74" Target="media/rId74.jpg" /><Relationship Type="http://schemas.openxmlformats.org/officeDocument/2006/relationships/hyperlink" Id="rId103" Target="https://doi.org/10.1007/s00027-011-0180-0" TargetMode="External" /><Relationship Type="http://schemas.openxmlformats.org/officeDocument/2006/relationships/hyperlink" Id="rId113" Target="https://doi.org/10.1007/s00267-005-0079-4" TargetMode="External" /><Relationship Type="http://schemas.openxmlformats.org/officeDocument/2006/relationships/hyperlink" Id="rId154" Target="https://doi.org/10.1007/s00267-013-0179-5" TargetMode="External" /><Relationship Type="http://schemas.openxmlformats.org/officeDocument/2006/relationships/hyperlink" Id="rId150" Target="https://doi.org/10.1007/s11270-013-1742-7" TargetMode="External" /><Relationship Type="http://schemas.openxmlformats.org/officeDocument/2006/relationships/hyperlink" Id="rId107" Target="https://doi.org/10.1007/s12237-010-9350-x" TargetMode="External" /><Relationship Type="http://schemas.openxmlformats.org/officeDocument/2006/relationships/hyperlink" Id="rId92" Target="https://doi.org/10.1007/s12237-013-9701-5" TargetMode="External" /><Relationship Type="http://schemas.openxmlformats.org/officeDocument/2006/relationships/hyperlink" Id="rId85" Target="https://doi.org/10.1007/s12237-017-0287-1" TargetMode="External" /><Relationship Type="http://schemas.openxmlformats.org/officeDocument/2006/relationships/hyperlink" Id="rId90" Target="https://doi.org/10.1016/S0265-931X(00)00164-8" TargetMode="External" /><Relationship Type="http://schemas.openxmlformats.org/officeDocument/2006/relationships/hyperlink" Id="rId145" Target="https://doi.org/10.1016/j.apgeochem.2010.02.003" TargetMode="External" /><Relationship Type="http://schemas.openxmlformats.org/officeDocument/2006/relationships/hyperlink" Id="rId147" Target="https://doi.org/10.1016/j.atmosenv.2012.12.030" TargetMode="External" /><Relationship Type="http://schemas.openxmlformats.org/officeDocument/2006/relationships/hyperlink" Id="rId152" Target="https://doi.org/10.1016/j.ecolind.2020.107310" TargetMode="External" /><Relationship Type="http://schemas.openxmlformats.org/officeDocument/2006/relationships/hyperlink" Id="rId116" Target="https://doi.org/10.1016/j.ecss.2014.10.003" TargetMode="External" /><Relationship Type="http://schemas.openxmlformats.org/officeDocument/2006/relationships/hyperlink" Id="rId136" Target="https://doi.org/10.1016/j.envsoft.2019.03.027" TargetMode="External" /><Relationship Type="http://schemas.openxmlformats.org/officeDocument/2006/relationships/hyperlink" Id="rId159" Target="https://doi.org/10.1016/j.jembe.2005.11.025" TargetMode="External" /><Relationship Type="http://schemas.openxmlformats.org/officeDocument/2006/relationships/hyperlink" Id="rId162" Target="https://doi.org/10.1016/j.jenvman.2009.03.007" TargetMode="External" /><Relationship Type="http://schemas.openxmlformats.org/officeDocument/2006/relationships/hyperlink" Id="rId109"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34" Target="https://doi.org/10.1016/j.ocecoaman.2005.07.002" TargetMode="External" /><Relationship Type="http://schemas.openxmlformats.org/officeDocument/2006/relationships/hyperlink" Id="rId143" Target="https://doi.org/10.1016/j.scitotenv.2016.02.070" TargetMode="External" /><Relationship Type="http://schemas.openxmlformats.org/officeDocument/2006/relationships/hyperlink" Id="rId94" Target="https://doi.org/10.1029/2018JC014890" TargetMode="External" /><Relationship Type="http://schemas.openxmlformats.org/officeDocument/2006/relationships/hyperlink" Id="rId138" Target="https://doi.org/10.1080/00785236.1995.10422044" TargetMode="External" /><Relationship Type="http://schemas.openxmlformats.org/officeDocument/2006/relationships/hyperlink" Id="rId156" Target="https://doi.org/10.1353/sgo.2017.0026" TargetMode="External" /><Relationship Type="http://schemas.openxmlformats.org/officeDocument/2006/relationships/hyperlink" Id="rId83"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67"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1" Target="https://doi.org/10.32614/RJ-2018-009" TargetMode="External" /><Relationship Type="http://schemas.openxmlformats.org/officeDocument/2006/relationships/hyperlink" Id="rId111" Target="https://doi.org/10.3389/fmars.2021.605858" TargetMode="External" /><Relationship Type="http://schemas.openxmlformats.org/officeDocument/2006/relationships/hyperlink" Id="rId81" Target="https://doi.org/10.4319/lo.1976.21.2.0212" TargetMode="External" /><Relationship Type="http://schemas.openxmlformats.org/officeDocument/2006/relationships/hyperlink" Id="rId164" Target="https://doi.org/10.4319/lo.1997.42.5_part_2.1105" TargetMode="External" /><Relationship Type="http://schemas.openxmlformats.org/officeDocument/2006/relationships/hyperlink" Id="rId122"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76"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2" Target="https://tbep-tech.github.io/piney-point-analysis/benthic" TargetMode="External" /><Relationship Type="http://schemas.openxmlformats.org/officeDocument/2006/relationships/hyperlink" Id="rId61"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5"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03" Target="https://doi.org/10.1007/s00027-011-0180-0" TargetMode="External" /><Relationship Type="http://schemas.openxmlformats.org/officeDocument/2006/relationships/hyperlink" Id="rId113" Target="https://doi.org/10.1007/s00267-005-0079-4" TargetMode="External" /><Relationship Type="http://schemas.openxmlformats.org/officeDocument/2006/relationships/hyperlink" Id="rId154" Target="https://doi.org/10.1007/s00267-013-0179-5" TargetMode="External" /><Relationship Type="http://schemas.openxmlformats.org/officeDocument/2006/relationships/hyperlink" Id="rId150" Target="https://doi.org/10.1007/s11270-013-1742-7" TargetMode="External" /><Relationship Type="http://schemas.openxmlformats.org/officeDocument/2006/relationships/hyperlink" Id="rId107" Target="https://doi.org/10.1007/s12237-010-9350-x" TargetMode="External" /><Relationship Type="http://schemas.openxmlformats.org/officeDocument/2006/relationships/hyperlink" Id="rId92" Target="https://doi.org/10.1007/s12237-013-9701-5" TargetMode="External" /><Relationship Type="http://schemas.openxmlformats.org/officeDocument/2006/relationships/hyperlink" Id="rId85" Target="https://doi.org/10.1007/s12237-017-0287-1" TargetMode="External" /><Relationship Type="http://schemas.openxmlformats.org/officeDocument/2006/relationships/hyperlink" Id="rId90" Target="https://doi.org/10.1016/S0265-931X(00)00164-8" TargetMode="External" /><Relationship Type="http://schemas.openxmlformats.org/officeDocument/2006/relationships/hyperlink" Id="rId145" Target="https://doi.org/10.1016/j.apgeochem.2010.02.003" TargetMode="External" /><Relationship Type="http://schemas.openxmlformats.org/officeDocument/2006/relationships/hyperlink" Id="rId147" Target="https://doi.org/10.1016/j.atmosenv.2012.12.030" TargetMode="External" /><Relationship Type="http://schemas.openxmlformats.org/officeDocument/2006/relationships/hyperlink" Id="rId152" Target="https://doi.org/10.1016/j.ecolind.2020.107310" TargetMode="External" /><Relationship Type="http://schemas.openxmlformats.org/officeDocument/2006/relationships/hyperlink" Id="rId116" Target="https://doi.org/10.1016/j.ecss.2014.10.003" TargetMode="External" /><Relationship Type="http://schemas.openxmlformats.org/officeDocument/2006/relationships/hyperlink" Id="rId136" Target="https://doi.org/10.1016/j.envsoft.2019.03.027" TargetMode="External" /><Relationship Type="http://schemas.openxmlformats.org/officeDocument/2006/relationships/hyperlink" Id="rId159" Target="https://doi.org/10.1016/j.jembe.2005.11.025" TargetMode="External" /><Relationship Type="http://schemas.openxmlformats.org/officeDocument/2006/relationships/hyperlink" Id="rId162" Target="https://doi.org/10.1016/j.jenvman.2009.03.007" TargetMode="External" /><Relationship Type="http://schemas.openxmlformats.org/officeDocument/2006/relationships/hyperlink" Id="rId109"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34" Target="https://doi.org/10.1016/j.ocecoaman.2005.07.002" TargetMode="External" /><Relationship Type="http://schemas.openxmlformats.org/officeDocument/2006/relationships/hyperlink" Id="rId143" Target="https://doi.org/10.1016/j.scitotenv.2016.02.070" TargetMode="External" /><Relationship Type="http://schemas.openxmlformats.org/officeDocument/2006/relationships/hyperlink" Id="rId94" Target="https://doi.org/10.1029/2018JC014890" TargetMode="External" /><Relationship Type="http://schemas.openxmlformats.org/officeDocument/2006/relationships/hyperlink" Id="rId138" Target="https://doi.org/10.1080/00785236.1995.10422044" TargetMode="External" /><Relationship Type="http://schemas.openxmlformats.org/officeDocument/2006/relationships/hyperlink" Id="rId156" Target="https://doi.org/10.1353/sgo.2017.0026" TargetMode="External" /><Relationship Type="http://schemas.openxmlformats.org/officeDocument/2006/relationships/hyperlink" Id="rId83"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67"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1" Target="https://doi.org/10.32614/RJ-2018-009" TargetMode="External" /><Relationship Type="http://schemas.openxmlformats.org/officeDocument/2006/relationships/hyperlink" Id="rId111" Target="https://doi.org/10.3389/fmars.2021.605858" TargetMode="External" /><Relationship Type="http://schemas.openxmlformats.org/officeDocument/2006/relationships/hyperlink" Id="rId81" Target="https://doi.org/10.4319/lo.1976.21.2.0212" TargetMode="External" /><Relationship Type="http://schemas.openxmlformats.org/officeDocument/2006/relationships/hyperlink" Id="rId164" Target="https://doi.org/10.4319/lo.1997.42.5_part_2.1105" TargetMode="External" /><Relationship Type="http://schemas.openxmlformats.org/officeDocument/2006/relationships/hyperlink" Id="rId122"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76"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2" Target="https://tbep-tech.github.io/piney-point-analysis/benthic" TargetMode="External" /><Relationship Type="http://schemas.openxmlformats.org/officeDocument/2006/relationships/hyperlink" Id="rId61"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5"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Mark Rains (Mark.Rains@floridadep.gov),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2021-10-19T20:54:31Z</dcterms:created>
  <dcterms:modified xsi:type="dcterms:W3CDTF">2021-10-19T20:54:31Z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